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30"/>
          <w:szCs w:val="30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30"/>
          <w:szCs w:val="30"/>
          <w:shd w:val="clear" w:color="auto" w:fill="auto"/>
        </w:rPr>
        <w:t>附件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30"/>
          <w:szCs w:val="30"/>
          <w:shd w:val="clear" w:color="auto" w:fill="auto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30"/>
          <w:szCs w:val="30"/>
          <w:shd w:val="clear" w:color="auto" w:fill="auto"/>
        </w:rPr>
        <w:t>：</w:t>
      </w:r>
    </w:p>
    <w:p>
      <w:pPr>
        <w:spacing w:line="240" w:lineRule="auto"/>
        <w:jc w:val="center"/>
        <w:rPr>
          <w:rFonts w:hint="eastAsia" w:ascii="Times New Roman" w:hAnsi="Times New Roman" w:eastAsia="宋体" w:cs="Times New Roman"/>
          <w:b/>
          <w:sz w:val="44"/>
        </w:rPr>
      </w:pPr>
    </w:p>
    <w:p>
      <w:pPr>
        <w:spacing w:line="240" w:lineRule="auto"/>
        <w:jc w:val="center"/>
        <w:rPr>
          <w:rFonts w:ascii="Times New Roman" w:hAnsi="Times New Roman" w:eastAsia="宋体" w:cs="Times New Roman"/>
          <w:b/>
          <w:sz w:val="44"/>
        </w:rPr>
      </w:pPr>
      <w:r>
        <w:rPr>
          <w:rFonts w:hint="eastAsia" w:ascii="Times New Roman" w:hAnsi="Times New Roman" w:eastAsia="宋体" w:cs="Times New Roman"/>
          <w:b/>
          <w:sz w:val="44"/>
        </w:rPr>
        <w:t>产权交易操作手册</w:t>
      </w:r>
    </w:p>
    <w:p>
      <w:pPr>
        <w:spacing w:line="240" w:lineRule="auto"/>
        <w:ind w:left="218" w:leftChars="104" w:firstLine="200" w:firstLineChars="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sdt>
      <w:sdtPr>
        <w:rPr>
          <w:rFonts w:hint="eastAsia" w:ascii="宋体" w:hAnsi="宋体" w:eastAsia="宋体" w:cs="宋体"/>
          <w:b w:val="0"/>
          <w:bCs w:val="0"/>
          <w:color w:val="auto"/>
          <w:kern w:val="2"/>
          <w:sz w:val="32"/>
          <w:szCs w:val="32"/>
          <w:lang w:val="zh-CN"/>
        </w:rPr>
        <w:id w:val="1903551147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en-US"/>
        </w:rPr>
      </w:sdtEndPr>
      <w:sdtContent>
        <w:p>
          <w:pPr>
            <w:pStyle w:val="40"/>
            <w:ind w:firstLine="420"/>
            <w:jc w:val="center"/>
            <w:rPr>
              <w:rFonts w:hint="eastAsia" w:ascii="宋体" w:hAnsi="宋体" w:eastAsia="宋体" w:cs="宋体"/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zh-CN"/>
            </w:rPr>
            <w:t>目</w: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t xml:space="preserve">   </w:t>
          </w:r>
          <w:r>
            <w:rPr>
              <w:rFonts w:hint="eastAsia" w:ascii="宋体" w:hAnsi="宋体" w:eastAsia="宋体" w:cs="宋体"/>
              <w:sz w:val="32"/>
              <w:szCs w:val="32"/>
              <w:lang w:val="zh-CN"/>
            </w:rPr>
            <w:t>录</w:t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TOC \o "1-3" \h \z \u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_Toc20406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</w:rPr>
            <w:t>一、系统登录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_Toc20406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_Toc2895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1、CA登录方式（企业）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_Toc2895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_Toc19847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2、用户名密码登录方式（自然人）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_Toc19847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4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_Toc4875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二、项目操作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_Toc4875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5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_Toc7271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1、选择项目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_Toc7271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5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_Toc14152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2、项目登记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_Toc14152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5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_Toc13240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3、保证金查询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_Toc13240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_Toc16731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4、参与竞价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_Toc16731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_Toc4365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三、进入竞价系统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_Toc4365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_Toc29655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1、电子竞价风险告知及确认书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_Toc29655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_Toc25294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2、竞价项目信息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_Toc25294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_Toc26907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四、竞价方式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_Toc26907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_Toc20748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1、一次性竞价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_Toc20748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_Toc2909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</w:rPr>
            <w:t>2、连续竞价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_Toc2909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10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textAlignment w:val="auto"/>
            <w:rPr>
              <w:sz w:val="24"/>
              <w:szCs w:val="24"/>
            </w:rPr>
          </w:pPr>
          <w:r>
            <w:rPr>
              <w:bCs/>
              <w:sz w:val="24"/>
              <w:szCs w:val="24"/>
              <w:lang w:val="zh-CN"/>
            </w:rPr>
            <w:fldChar w:fldCharType="begin"/>
          </w:r>
          <w:r>
            <w:rPr>
              <w:bCs/>
              <w:sz w:val="24"/>
              <w:szCs w:val="24"/>
              <w:lang w:val="zh-CN"/>
            </w:rPr>
            <w:instrText xml:space="preserve"> HYPERLINK \l _Toc7659 </w:instrText>
          </w:r>
          <w:r>
            <w:rPr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/>
              <w:sz w:val="24"/>
              <w:szCs w:val="24"/>
              <w:lang w:val="en-US" w:eastAsia="zh-CN"/>
            </w:rPr>
            <w:t>五、成交确认书领取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_Toc7659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14</w:t>
          </w:r>
          <w:r>
            <w:rPr>
              <w:sz w:val="24"/>
              <w:szCs w:val="24"/>
            </w:rPr>
            <w:fldChar w:fldCharType="end"/>
          </w:r>
          <w:r>
            <w:rPr>
              <w:bCs/>
              <w:sz w:val="24"/>
              <w:szCs w:val="24"/>
              <w:lang w:val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exact"/>
            <w:ind w:firstLine="422"/>
            <w:textAlignment w:val="auto"/>
            <w:rPr>
              <w:rFonts w:hint="default"/>
              <w:lang w:val="en-US"/>
            </w:rPr>
          </w:pPr>
          <w:r>
            <w:rPr>
              <w:bCs/>
              <w:sz w:val="24"/>
              <w:szCs w:val="24"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ind w:firstLine="0" w:firstLineChars="0"/>
        <w:jc w:val="left"/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pStyle w:val="2"/>
        <w:ind w:firstLine="199" w:firstLineChars="45"/>
      </w:pPr>
      <w:bookmarkStart w:id="0" w:name="_Toc20406"/>
      <w:r>
        <w:rPr>
          <w:rFonts w:hint="eastAsia"/>
        </w:rPr>
        <w:t>一、系统登录</w:t>
      </w:r>
      <w:bookmarkEnd w:id="0"/>
    </w:p>
    <w:p>
      <w:pPr>
        <w:ind w:firstLine="420"/>
      </w:pPr>
      <w:r>
        <w:rPr>
          <w:rFonts w:hint="eastAsia"/>
        </w:rPr>
        <w:t>打开安徽</w:t>
      </w:r>
      <w:r>
        <w:rPr>
          <w:rFonts w:hint="eastAsia"/>
          <w:lang w:val="en-US" w:eastAsia="zh-CN"/>
        </w:rPr>
        <w:t>合肥</w:t>
      </w:r>
      <w:r>
        <w:rPr>
          <w:rFonts w:hint="eastAsia" w:ascii="宋体" w:hAnsi="宋体" w:eastAsia="宋体" w:cs="宋体"/>
          <w:lang w:val="en-US" w:eastAsia="zh-CN"/>
        </w:rPr>
        <w:t>·</w:t>
      </w:r>
      <w:r>
        <w:rPr>
          <w:rFonts w:hint="eastAsia"/>
        </w:rPr>
        <w:t>公共资源交易电子服务系统网站（</w:t>
      </w:r>
      <w:r>
        <w:t>http://www.hfztb.cn/</w:t>
      </w:r>
      <w:r>
        <w:rPr>
          <w:rFonts w:hint="eastAsia"/>
        </w:rPr>
        <w:t>）进入电子服务系统登录页面。</w:t>
      </w:r>
    </w:p>
    <w:p>
      <w:pPr>
        <w:ind w:firstLine="42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123825</wp:posOffset>
            </wp:positionV>
            <wp:extent cx="5274310" cy="2767330"/>
            <wp:effectExtent l="0" t="0" r="2540" b="139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/>
      </w:pPr>
    </w:p>
    <w:p>
      <w:pPr>
        <w:ind w:firstLine="420"/>
      </w:pPr>
    </w:p>
    <w:p>
      <w:pPr>
        <w:ind w:left="0" w:leftChars="0" w:firstLine="0" w:firstLineChars="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pStyle w:val="3"/>
        <w:ind w:firstLine="643"/>
      </w:pPr>
      <w:bookmarkStart w:id="1" w:name="_Toc2895"/>
      <w:r>
        <w:rPr>
          <w:rFonts w:hint="eastAsia"/>
        </w:rPr>
        <w:t>1、CA登录方式（企业）</w:t>
      </w:r>
      <w:bookmarkEnd w:id="1"/>
    </w:p>
    <w:p>
      <w:pPr>
        <w:ind w:firstLine="420"/>
      </w:pPr>
      <w:r>
        <w:rPr>
          <w:rFonts w:hint="eastAsia"/>
        </w:rPr>
        <w:t xml:space="preserve">点击页面上“驱动下载”按钮下载驱动后安装，安装完成后点击“我要投标”，输入CA锁密码及验证码，点击“登录”，登录系统。  </w:t>
      </w:r>
    </w:p>
    <w:p>
      <w:pPr>
        <w:ind w:firstLine="42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112395</wp:posOffset>
            </wp:positionV>
            <wp:extent cx="5274310" cy="2907665"/>
            <wp:effectExtent l="0" t="0" r="254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rPr>
          <w:rFonts w:hint="eastAsia"/>
        </w:rPr>
        <w:t xml:space="preserve"> </w:t>
      </w:r>
    </w:p>
    <w:p>
      <w:pPr>
        <w:pStyle w:val="3"/>
        <w:ind w:firstLine="643"/>
      </w:pPr>
      <w:bookmarkStart w:id="2" w:name="_Toc19847"/>
      <w:r>
        <w:rPr>
          <w:rFonts w:hint="eastAsia"/>
        </w:rPr>
        <w:t>2、用户名密码登录方式（自然人）</w:t>
      </w:r>
      <w:bookmarkEnd w:id="2"/>
    </w:p>
    <w:p>
      <w:pPr>
        <w:ind w:firstLine="420"/>
      </w:pPr>
      <w:r>
        <w:rPr>
          <w:rFonts w:hint="eastAsia"/>
        </w:rPr>
        <w:t>用户点击“安徽政务服务网统一认证中心”进行注册登录。</w:t>
      </w:r>
    </w:p>
    <w:p>
      <w:pPr>
        <w:ind w:firstLine="420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80010</wp:posOffset>
            </wp:positionV>
            <wp:extent cx="5274310" cy="2755900"/>
            <wp:effectExtent l="0" t="0" r="2540" b="635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  <w:r>
        <w:drawing>
          <wp:inline distT="0" distB="0" distL="0" distR="0">
            <wp:extent cx="5274310" cy="2523490"/>
            <wp:effectExtent l="0" t="0" r="254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  <w:r>
        <w:drawing>
          <wp:inline distT="0" distB="0" distL="114300" distR="114300">
            <wp:extent cx="5251450" cy="2600325"/>
            <wp:effectExtent l="0" t="0" r="635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199" w:firstLineChars="45"/>
      </w:pPr>
      <w:bookmarkStart w:id="3" w:name="_Toc4875"/>
      <w:r>
        <w:rPr>
          <w:rFonts w:hint="eastAsia"/>
        </w:rPr>
        <w:t>二、项</w:t>
      </w:r>
      <w:bookmarkStart w:id="15" w:name="_GoBack"/>
      <w:bookmarkEnd w:id="15"/>
      <w:r>
        <w:rPr>
          <w:rFonts w:hint="eastAsia"/>
        </w:rPr>
        <w:t>目操作</w:t>
      </w:r>
      <w:bookmarkEnd w:id="3"/>
    </w:p>
    <w:p>
      <w:pPr>
        <w:pStyle w:val="3"/>
        <w:ind w:firstLine="643"/>
      </w:pPr>
      <w:bookmarkStart w:id="4" w:name="_Toc7271"/>
      <w:r>
        <w:rPr>
          <w:rFonts w:hint="eastAsia"/>
        </w:rPr>
        <w:t>1、选择项目</w:t>
      </w:r>
      <w:bookmarkEnd w:id="4"/>
    </w:p>
    <w:p>
      <w:pPr>
        <w:ind w:firstLine="420"/>
      </w:pPr>
      <w:r>
        <w:rPr>
          <w:rFonts w:hint="eastAsia"/>
        </w:rPr>
        <w:t>进入交易系统后，点击左上角的“产权交易”模块，主页上显示了所有当前公告中的项目。点击项目模块下的“我要参与”按钮进入项目工作台页面。</w:t>
      </w:r>
    </w:p>
    <w:p>
      <w:pPr>
        <w:ind w:firstLine="42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172720</wp:posOffset>
            </wp:positionV>
            <wp:extent cx="5270500" cy="2536190"/>
            <wp:effectExtent l="0" t="0" r="6350" b="1651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spacing w:line="240" w:lineRule="auto"/>
        <w:ind w:firstLine="643"/>
        <w:rPr>
          <w:rStyle w:val="41"/>
        </w:rPr>
      </w:pPr>
    </w:p>
    <w:p>
      <w:pPr>
        <w:spacing w:line="240" w:lineRule="auto"/>
        <w:ind w:firstLine="643"/>
        <w:rPr>
          <w:rStyle w:val="41"/>
        </w:rPr>
      </w:pPr>
    </w:p>
    <w:p>
      <w:pPr>
        <w:spacing w:line="240" w:lineRule="auto"/>
        <w:ind w:firstLine="643"/>
        <w:rPr>
          <w:rStyle w:val="41"/>
        </w:rPr>
      </w:pPr>
      <w:bookmarkStart w:id="5" w:name="_Toc14152"/>
      <w:r>
        <w:rPr>
          <w:rStyle w:val="41"/>
          <w:rFonts w:hint="eastAsia"/>
        </w:rPr>
        <w:t>2、项目登记</w:t>
      </w:r>
    </w:p>
    <w:bookmarkEnd w:id="5"/>
    <w:p>
      <w:pPr>
        <w:ind w:firstLine="420"/>
      </w:pPr>
      <w:r>
        <w:rPr>
          <w:rFonts w:hint="eastAsia"/>
        </w:rPr>
        <w:t>点击项目登记并填写相关登记信息参加项目。</w:t>
      </w:r>
    </w:p>
    <w:p>
      <w:pPr>
        <w:spacing w:line="240" w:lineRule="auto"/>
        <w:ind w:firstLine="420"/>
      </w:pPr>
      <w:r>
        <w:t xml:space="preserve"> </w:t>
      </w:r>
      <w:r>
        <w:drawing>
          <wp:inline distT="0" distB="0" distL="0" distR="0">
            <wp:extent cx="5274310" cy="2251075"/>
            <wp:effectExtent l="0" t="0" r="2540" b="15875"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</w:pPr>
      <w:r>
        <w:t xml:space="preserve"> </w:t>
      </w:r>
      <w:r>
        <w:drawing>
          <wp:inline distT="0" distB="0" distL="0" distR="0">
            <wp:extent cx="5274310" cy="1684020"/>
            <wp:effectExtent l="0" t="0" r="2540" b="1143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6" w:name="_Toc13240"/>
      <w:r>
        <w:rPr>
          <w:rFonts w:hint="eastAsia"/>
        </w:rPr>
        <w:t>3、保证金查询</w:t>
      </w:r>
      <w:bookmarkEnd w:id="6"/>
    </w:p>
    <w:p>
      <w:pPr>
        <w:ind w:firstLine="420"/>
      </w:pPr>
      <w:r>
        <w:rPr>
          <w:rFonts w:hint="eastAsia"/>
        </w:rPr>
        <w:t>点击保证金查询页面查询保证金是否到账，查询成功就可以进行下一步竞价。</w:t>
      </w:r>
    </w:p>
    <w:p>
      <w:pPr>
        <w:pStyle w:val="3"/>
        <w:ind w:firstLine="643"/>
      </w:pPr>
      <w:bookmarkStart w:id="7" w:name="_Toc16731"/>
      <w:r>
        <w:rPr>
          <w:rFonts w:hint="eastAsia"/>
        </w:rPr>
        <w:t>4、参与竞价</w:t>
      </w:r>
      <w:bookmarkEnd w:id="7"/>
    </w:p>
    <w:p>
      <w:pPr>
        <w:ind w:firstLine="420"/>
      </w:pPr>
      <w:r>
        <w:rPr>
          <w:rFonts w:hint="eastAsia"/>
        </w:rPr>
        <w:t>保证金查询成功后，点击进入竞价系统参与竞价。</w:t>
      </w:r>
    </w:p>
    <w:p>
      <w:pPr>
        <w:pStyle w:val="2"/>
        <w:ind w:firstLine="199" w:firstLineChars="45"/>
      </w:pPr>
      <w:bookmarkStart w:id="8" w:name="_Toc4365"/>
      <w:r>
        <w:rPr>
          <w:rFonts w:hint="eastAsia"/>
        </w:rPr>
        <w:t>三、进入竞价系统</w:t>
      </w:r>
      <w:bookmarkEnd w:id="8"/>
    </w:p>
    <w:p>
      <w:pPr>
        <w:ind w:firstLine="420"/>
      </w:pPr>
      <w:r>
        <w:rPr>
          <w:rFonts w:hint="eastAsia"/>
        </w:rPr>
        <w:t>请使用IE10、IE11浏览器访问登录竞价系统，否则可能导致竞价异常。</w:t>
      </w:r>
    </w:p>
    <w:p>
      <w:pPr>
        <w:pStyle w:val="3"/>
        <w:ind w:firstLine="643"/>
      </w:pPr>
      <w:bookmarkStart w:id="9" w:name="_Toc29655"/>
      <w:r>
        <w:rPr>
          <w:rFonts w:hint="eastAsia"/>
        </w:rPr>
        <w:t>1、电子竞价风险告知及确认书</w:t>
      </w:r>
      <w:bookmarkEnd w:id="9"/>
    </w:p>
    <w:p>
      <w:pPr>
        <w:ind w:firstLine="420"/>
      </w:pPr>
      <w:r>
        <w:rPr>
          <w:rFonts w:hint="eastAsia"/>
        </w:rPr>
        <w:t>阅读电子竞价风险告知及确认书后，选择已阅读，然后点击</w:t>
      </w:r>
      <w:r>
        <w:drawing>
          <wp:inline distT="0" distB="0" distL="0" distR="0">
            <wp:extent cx="971550" cy="2857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，进入竞价系统，如图：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0" distR="0">
            <wp:extent cx="5267325" cy="25050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10" w:name="_Toc25294"/>
      <w:r>
        <w:rPr>
          <w:rFonts w:hint="eastAsia"/>
        </w:rPr>
        <w:t>2、竞价项目信息</w:t>
      </w:r>
      <w:bookmarkEnd w:id="10"/>
    </w:p>
    <w:p>
      <w:pPr>
        <w:ind w:firstLine="420"/>
      </w:pPr>
      <w:r>
        <w:rPr>
          <w:rFonts w:hint="eastAsia"/>
        </w:rPr>
        <w:t>进入竞价系统后，可以看到正在进行中的竞价项目列表，如图：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0" distR="0">
            <wp:extent cx="5267325" cy="12573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199" w:firstLineChars="45"/>
      </w:pPr>
      <w:bookmarkStart w:id="11" w:name="_Toc26907"/>
      <w:r>
        <w:rPr>
          <w:rFonts w:hint="eastAsia"/>
        </w:rPr>
        <w:t>四、竞价方式</w:t>
      </w:r>
      <w:bookmarkEnd w:id="11"/>
    </w:p>
    <w:p>
      <w:pPr>
        <w:pStyle w:val="3"/>
        <w:ind w:firstLine="643"/>
      </w:pPr>
      <w:bookmarkStart w:id="12" w:name="_Toc20748"/>
      <w:r>
        <w:rPr>
          <w:rFonts w:hint="eastAsia"/>
        </w:rPr>
        <w:t>1、一次性竞价</w:t>
      </w:r>
      <w:bookmarkEnd w:id="12"/>
    </w:p>
    <w:p>
      <w:pPr>
        <w:ind w:firstLine="420"/>
      </w:pPr>
      <w:r>
        <w:rPr>
          <w:rFonts w:hint="eastAsia"/>
        </w:rPr>
        <w:t>竞价人填写有效的报价金额，录入成功之后可点击</w:t>
      </w:r>
      <w:r>
        <w:drawing>
          <wp:inline distT="0" distB="0" distL="0" distR="0">
            <wp:extent cx="899795" cy="434340"/>
            <wp:effectExtent l="0" t="0" r="14605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904" cy="43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进行报价。在一次性竞价项目报价单开启时间倒计时结束前，竞价人若对之前的报价进行修改，需要重新输入报价金额点击</w:t>
      </w:r>
      <w:r>
        <w:drawing>
          <wp:inline distT="0" distB="0" distL="0" distR="0">
            <wp:extent cx="800100" cy="385445"/>
            <wp:effectExtent l="0" t="0" r="0" b="146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，也可点击</w:t>
      </w:r>
      <w:r>
        <w:drawing>
          <wp:inline distT="0" distB="0" distL="0" distR="0">
            <wp:extent cx="876300" cy="422275"/>
            <wp:effectExtent l="0" t="0" r="0" b="158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2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，对自己之前的报价进行撤回，如您在报价单开启前撤回了报价并未再次提交报价，则报价无效。如下图：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9865" cy="2415540"/>
            <wp:effectExtent l="0" t="0" r="6985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在报价单开启前，各竞价人只能在报价区下方我的报价记录中查看到自己的报价记录，其他竞价人报价记录无法查看。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9865" cy="2428240"/>
            <wp:effectExtent l="0" t="0" r="698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行使优先权：</w:t>
      </w:r>
    </w:p>
    <w:p>
      <w:pPr>
        <w:ind w:firstLine="420"/>
      </w:pPr>
      <w:r>
        <w:rPr>
          <w:rFonts w:hint="eastAsia"/>
        </w:rPr>
        <w:t>同等价格下，优先权人可在优先权行使期内行使优先权。优先权人须按照项目公告要求及时办理注册、登记及保证金缴纳手续，方可进入竞价系统行使优先权。优先权竞价人在报价单开启时间前只能查看，不能行使优先权。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9865" cy="2397760"/>
            <wp:effectExtent l="0" t="0" r="6985" b="25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若报价单开启后进入行使优先权倒计时内，优先权竞价人可看到其他竞价人报价及排名情况，并确认是否行使优先权，如下图：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7325" cy="2465070"/>
            <wp:effectExtent l="0" t="0" r="9525" b="1143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若行使优先权，在点击行使优先权按钮后，会弹出竞价结束的信息，如下图所示：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0" distR="0">
            <wp:extent cx="5267325" cy="2171700"/>
            <wp:effectExtent l="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9865" cy="2236470"/>
            <wp:effectExtent l="0" t="0" r="6985" b="1143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rPr>
          <w:b/>
        </w:rPr>
      </w:pPr>
      <w:r>
        <w:rPr>
          <w:rFonts w:hint="eastAsia"/>
          <w:b/>
        </w:rPr>
        <w:t>优先权人逾期或者未按规定完成上述流程视同放弃优先权。</w:t>
      </w:r>
    </w:p>
    <w:p>
      <w:pPr>
        <w:ind w:firstLine="420"/>
      </w:pPr>
    </w:p>
    <w:p>
      <w:pPr>
        <w:ind w:firstLine="420"/>
      </w:pPr>
      <w:r>
        <w:rPr>
          <w:rFonts w:hint="eastAsia"/>
        </w:rPr>
        <w:t>竞价结束后，竞价人可从报价区查询其他竞价人有效报价。如下图：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0" distR="0">
            <wp:extent cx="5267325" cy="232410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一次性报价的规则及须知等内容请见公告。</w:t>
      </w:r>
    </w:p>
    <w:p>
      <w:pPr>
        <w:pStyle w:val="3"/>
        <w:ind w:firstLine="643"/>
      </w:pPr>
      <w:bookmarkStart w:id="13" w:name="_Toc2909"/>
      <w:r>
        <w:rPr>
          <w:rFonts w:hint="eastAsia"/>
        </w:rPr>
        <w:t>2、连续竞价</w:t>
      </w:r>
      <w:bookmarkEnd w:id="13"/>
    </w:p>
    <w:p>
      <w:pPr>
        <w:ind w:firstLine="420"/>
      </w:pPr>
      <w:r>
        <w:rPr>
          <w:rFonts w:hint="eastAsia"/>
        </w:rPr>
        <w:t>进入竞价界面可查看到该竞价项目的相关信息，如“标的概要”区可了解项目详情包括竞价状态、结束时间、当前最高价格等信息，如下图：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7325" cy="2460625"/>
            <wp:effectExtent l="0" t="0" r="9525" b="15875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信息确认无误后竞价人即可进行报价，（1）</w:t>
      </w:r>
      <w:r>
        <w:rPr>
          <w:rFonts w:hint="eastAsia"/>
          <w:lang w:val="en-US" w:eastAsia="zh-CN"/>
        </w:rPr>
        <w:t>竞价人点击</w:t>
      </w:r>
      <w:r>
        <w:rPr>
          <w:rFonts w:hint="eastAsia"/>
        </w:rPr>
        <w:t>“快速报价”</w:t>
      </w:r>
      <w:r>
        <w:rPr>
          <w:rFonts w:hint="eastAsia"/>
          <w:lang w:val="en-US" w:eastAsia="zh-CN"/>
        </w:rPr>
        <w:t>时，若为首次报价，则报价为“起始价”；若非首次报价，则报价为</w:t>
      </w:r>
      <w:r>
        <w:rPr>
          <w:rFonts w:hint="eastAsia"/>
        </w:rPr>
        <w:t>在当前价格基础上</w:t>
      </w:r>
      <w:r>
        <w:rPr>
          <w:rFonts w:hint="eastAsia"/>
          <w:lang w:val="en-US" w:eastAsia="zh-CN"/>
        </w:rPr>
        <w:t>增加</w:t>
      </w:r>
      <w:r>
        <w:rPr>
          <w:rFonts w:hint="eastAsia"/>
        </w:rPr>
        <w:t>一个竞价阶梯的报价，系统弹出确认窗口，确认后进行提交报价。（2）竞价人也可以在当前价格基础上选择竞价阶梯的整倍数，并点击“提交报价”，可以使竞价人提交高于当前最高报价一个或多个竞价阶梯的报价，系统弹出确认窗口，确认后进行提交报价。</w:t>
      </w:r>
      <w:r>
        <w:rPr>
          <w:rFonts w:hint="eastAsia"/>
          <w:b/>
        </w:rPr>
        <w:t>（注：竞价人一旦提交报价，不得撤回和修改）</w:t>
      </w:r>
    </w:p>
    <w:p>
      <w:pPr>
        <w:ind w:firstLine="420"/>
      </w:pPr>
      <w:r>
        <w:rPr>
          <w:rFonts w:hint="eastAsia"/>
        </w:rPr>
        <w:t>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8595" cy="2489835"/>
            <wp:effectExtent l="0" t="0" r="8255" b="571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竞价人可通过查看数据区内的信息，查询所有竞价人报价记录，如下图：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70500" cy="2358390"/>
            <wp:effectExtent l="0" t="0" r="6350" b="3810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延时竞价：</w:t>
      </w:r>
    </w:p>
    <w:p>
      <w:pPr>
        <w:ind w:firstLine="420"/>
      </w:pPr>
      <w:r>
        <w:rPr>
          <w:rFonts w:hint="eastAsia"/>
        </w:rPr>
        <w:t>自由竞价结束后进入延时竞价：在延时竞价时间内，各竞价人进行延时竞价，请竞价人注意 “延时竞价结束时间倒计时”，延时竞价周期内如出现有效报价，则进入新的延时竞价周期；在一个延时竞价周期内如未出现有效报价，则报价结束。延时竞价结束时间如下图：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7325" cy="2524760"/>
            <wp:effectExtent l="0" t="0" r="9525" b="8890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在竞价期间竞价人可查看下方区域数据区，查看所有报价记录信息，如下图：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114300" distR="114300">
            <wp:extent cx="5267960" cy="2498090"/>
            <wp:effectExtent l="0" t="0" r="8890" b="1651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行使优先权：</w:t>
      </w:r>
    </w:p>
    <w:p>
      <w:pPr>
        <w:ind w:firstLine="420"/>
      </w:pPr>
      <w:r>
        <w:rPr>
          <w:rFonts w:hint="eastAsia"/>
        </w:rPr>
        <w:t>同等价格下，优先权人可在竞价期行使优先权。优先权人须按照项目公告要求及时办理注册、登记及保证金缴纳手续，方可进入竞价系统行使优先权。</w:t>
      </w:r>
    </w:p>
    <w:p>
      <w:pPr>
        <w:spacing w:line="240" w:lineRule="auto"/>
        <w:ind w:firstLine="420"/>
      </w:pPr>
      <w:r>
        <w:rPr>
          <w:rFonts w:hint="eastAsia"/>
        </w:rPr>
        <w:t>优先权竞价人可通过点击</w:t>
      </w:r>
      <w:r>
        <w:drawing>
          <wp:inline distT="0" distB="0" distL="0" distR="0">
            <wp:extent cx="1924050" cy="7239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按钮，如下图：</w:t>
      </w:r>
    </w:p>
    <w:p>
      <w:pPr>
        <w:spacing w:line="240" w:lineRule="auto"/>
        <w:ind w:left="0" w:leftChars="0" w:firstLine="0" w:firstLineChars="0"/>
      </w:pPr>
      <w:r>
        <w:drawing>
          <wp:inline distT="0" distB="0" distL="0" distR="0">
            <wp:extent cx="5274310" cy="2141855"/>
            <wp:effectExtent l="0" t="0" r="2540" b="1079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left="0" w:leftChars="0" w:firstLine="0" w:firstLineChars="0"/>
      </w:pPr>
      <w:r>
        <w:drawing>
          <wp:inline distT="0" distB="0" distL="0" distR="0">
            <wp:extent cx="5185410" cy="2294255"/>
            <wp:effectExtent l="0" t="0" r="15240" b="1079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1" r="1555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</w:pPr>
      <w:r>
        <w:rPr>
          <w:rFonts w:hint="eastAsia"/>
        </w:rPr>
        <w:t>点击</w:t>
      </w:r>
      <w:r>
        <w:drawing>
          <wp:inline distT="0" distB="0" distL="0" distR="0">
            <wp:extent cx="1790700" cy="619125"/>
            <wp:effectExtent l="0" t="0" r="0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即以当前最高报价获得优先权。</w:t>
      </w:r>
    </w:p>
    <w:p>
      <w:pPr>
        <w:pStyle w:val="42"/>
        <w:ind w:firstLine="422"/>
        <w:rPr>
          <w:rFonts w:hint="eastAsia"/>
          <w:b/>
        </w:rPr>
      </w:pPr>
      <w:r>
        <w:rPr>
          <w:rFonts w:hint="eastAsia"/>
          <w:b/>
        </w:rPr>
        <w:t>优先权人逾期或者未按规定完成上述流程视同放弃优先权。</w:t>
      </w:r>
    </w:p>
    <w:p>
      <w:pPr>
        <w:pStyle w:val="42"/>
        <w:ind w:firstLine="422"/>
        <w:rPr>
          <w:rFonts w:hint="eastAsia"/>
          <w:b/>
        </w:rPr>
      </w:pPr>
    </w:p>
    <w:p>
      <w:pPr>
        <w:pStyle w:val="42"/>
        <w:ind w:firstLine="422"/>
        <w:rPr>
          <w:rFonts w:hint="eastAsia"/>
          <w:b/>
        </w:rPr>
      </w:pPr>
    </w:p>
    <w:p>
      <w:pPr>
        <w:pStyle w:val="2"/>
        <w:ind w:firstLine="199" w:firstLineChars="45"/>
        <w:rPr>
          <w:rFonts w:hint="eastAsia"/>
          <w:lang w:val="en-US" w:eastAsia="zh-CN"/>
        </w:rPr>
      </w:pPr>
      <w:bookmarkStart w:id="14" w:name="_Toc7659"/>
      <w:r>
        <w:rPr>
          <w:rFonts w:hint="eastAsia"/>
          <w:lang w:val="en-US" w:eastAsia="zh-CN"/>
        </w:rPr>
        <w:t>五、成交确认书领取</w:t>
      </w:r>
      <w:bookmarkEnd w:id="14"/>
    </w:p>
    <w:p>
      <w:pPr>
        <w:pStyle w:val="42"/>
        <w:numPr>
          <w:ilvl w:val="0"/>
          <w:numId w:val="0"/>
        </w:numPr>
        <w:ind w:leftChars="0" w:firstLine="420" w:firstLineChars="200"/>
      </w:pPr>
      <w:r>
        <w:rPr>
          <w:rFonts w:hint="eastAsia"/>
          <w:lang w:val="en-US" w:eastAsia="zh-CN"/>
        </w:rPr>
        <w:t>成交人登录电子交易系统，在“中标项目”中，找到对应的项目并选择“项目流程”进入项目流程页面，在“标后阶段”中点击“成交确认书领取”按钮进入领取页面。</w:t>
      </w:r>
    </w:p>
    <w:p>
      <w:pPr>
        <w:pStyle w:val="42"/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915920"/>
            <wp:effectExtent l="0" t="0" r="9525" b="17780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进入本项目成通知书列表，点击下载领取查看成交确认书：</w:t>
      </w:r>
    </w:p>
    <w:p>
      <w:pPr>
        <w:pStyle w:val="42"/>
        <w:numPr>
          <w:ilvl w:val="0"/>
          <w:numId w:val="0"/>
        </w:numPr>
      </w:pPr>
      <w:r>
        <w:drawing>
          <wp:inline distT="0" distB="0" distL="114300" distR="114300">
            <wp:extent cx="5269230" cy="2752090"/>
            <wp:effectExtent l="0" t="0" r="7620" b="1016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该页面，投标人第一次点击操作按钮为“下载” 下载之后，页面上的成交确认书状态变为已领取，若通知书作废，则状态变为已作废。</w:t>
      </w:r>
    </w:p>
    <w:p>
      <w:pPr>
        <w:pStyle w:val="4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在第一次点击下载之后，后面点击操作按钮直接进入查看预览成交确认书。</w:t>
      </w:r>
    </w:p>
    <w:p>
      <w:pPr>
        <w:pStyle w:val="4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3013710"/>
            <wp:effectExtent l="0" t="0" r="7620" b="15240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</w:p>
    <w:p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67134706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19</w:t>
        </w:r>
        <w:r>
          <w:fldChar w:fldCharType="end"/>
        </w:r>
      </w:p>
    </w:sdtContent>
  </w:sdt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3E"/>
    <w:rsid w:val="00000B8F"/>
    <w:rsid w:val="00000CC4"/>
    <w:rsid w:val="00007875"/>
    <w:rsid w:val="00011E09"/>
    <w:rsid w:val="000149F2"/>
    <w:rsid w:val="00015D9A"/>
    <w:rsid w:val="00017C69"/>
    <w:rsid w:val="0002195E"/>
    <w:rsid w:val="00024F64"/>
    <w:rsid w:val="00030F89"/>
    <w:rsid w:val="00033C1F"/>
    <w:rsid w:val="000416CA"/>
    <w:rsid w:val="000430C6"/>
    <w:rsid w:val="000442AB"/>
    <w:rsid w:val="000452AC"/>
    <w:rsid w:val="00046566"/>
    <w:rsid w:val="00046C91"/>
    <w:rsid w:val="00054505"/>
    <w:rsid w:val="0006473A"/>
    <w:rsid w:val="00064EC6"/>
    <w:rsid w:val="00066AFF"/>
    <w:rsid w:val="00067077"/>
    <w:rsid w:val="00075E46"/>
    <w:rsid w:val="00083048"/>
    <w:rsid w:val="00083787"/>
    <w:rsid w:val="00087A9C"/>
    <w:rsid w:val="000908C5"/>
    <w:rsid w:val="00092812"/>
    <w:rsid w:val="00093E68"/>
    <w:rsid w:val="00094E85"/>
    <w:rsid w:val="000A07B0"/>
    <w:rsid w:val="000B3A85"/>
    <w:rsid w:val="000B6546"/>
    <w:rsid w:val="000C20A3"/>
    <w:rsid w:val="000C491C"/>
    <w:rsid w:val="000C618D"/>
    <w:rsid w:val="000C78F3"/>
    <w:rsid w:val="000C7BDA"/>
    <w:rsid w:val="000D23A4"/>
    <w:rsid w:val="000D5FCA"/>
    <w:rsid w:val="000D73CF"/>
    <w:rsid w:val="000D767B"/>
    <w:rsid w:val="000E4DE6"/>
    <w:rsid w:val="000E6D0C"/>
    <w:rsid w:val="000F28AA"/>
    <w:rsid w:val="000F34D8"/>
    <w:rsid w:val="000F41C4"/>
    <w:rsid w:val="000F509C"/>
    <w:rsid w:val="000F51CC"/>
    <w:rsid w:val="00112458"/>
    <w:rsid w:val="001126DF"/>
    <w:rsid w:val="001135BD"/>
    <w:rsid w:val="00113D8D"/>
    <w:rsid w:val="001141EC"/>
    <w:rsid w:val="00114A0F"/>
    <w:rsid w:val="00114DEA"/>
    <w:rsid w:val="00120473"/>
    <w:rsid w:val="00123EBA"/>
    <w:rsid w:val="00124D49"/>
    <w:rsid w:val="00135806"/>
    <w:rsid w:val="00141B37"/>
    <w:rsid w:val="001435B2"/>
    <w:rsid w:val="001443F4"/>
    <w:rsid w:val="00146B20"/>
    <w:rsid w:val="00147D8A"/>
    <w:rsid w:val="00152503"/>
    <w:rsid w:val="00152913"/>
    <w:rsid w:val="001567DD"/>
    <w:rsid w:val="00157DAF"/>
    <w:rsid w:val="00165BC4"/>
    <w:rsid w:val="00170A32"/>
    <w:rsid w:val="001731AB"/>
    <w:rsid w:val="0018305A"/>
    <w:rsid w:val="00187D95"/>
    <w:rsid w:val="00191194"/>
    <w:rsid w:val="00192753"/>
    <w:rsid w:val="001A5E0E"/>
    <w:rsid w:val="001B0E91"/>
    <w:rsid w:val="001B3065"/>
    <w:rsid w:val="001B5DB6"/>
    <w:rsid w:val="001B631D"/>
    <w:rsid w:val="001C15CE"/>
    <w:rsid w:val="001C642A"/>
    <w:rsid w:val="001D1EA8"/>
    <w:rsid w:val="001E3660"/>
    <w:rsid w:val="001E39A9"/>
    <w:rsid w:val="001E4B3A"/>
    <w:rsid w:val="001E5916"/>
    <w:rsid w:val="001F09F0"/>
    <w:rsid w:val="001F1319"/>
    <w:rsid w:val="001F15BA"/>
    <w:rsid w:val="001F1B5C"/>
    <w:rsid w:val="001F6A72"/>
    <w:rsid w:val="00203092"/>
    <w:rsid w:val="00206454"/>
    <w:rsid w:val="0021344C"/>
    <w:rsid w:val="0021487D"/>
    <w:rsid w:val="0022276D"/>
    <w:rsid w:val="002252F4"/>
    <w:rsid w:val="002307FC"/>
    <w:rsid w:val="00233418"/>
    <w:rsid w:val="00233E11"/>
    <w:rsid w:val="002370D3"/>
    <w:rsid w:val="00242D0D"/>
    <w:rsid w:val="00245B2F"/>
    <w:rsid w:val="002503AE"/>
    <w:rsid w:val="00254416"/>
    <w:rsid w:val="00256A09"/>
    <w:rsid w:val="002607E4"/>
    <w:rsid w:val="00261B4A"/>
    <w:rsid w:val="00264665"/>
    <w:rsid w:val="002654BA"/>
    <w:rsid w:val="002657AB"/>
    <w:rsid w:val="00266044"/>
    <w:rsid w:val="002662BE"/>
    <w:rsid w:val="00271F31"/>
    <w:rsid w:val="00272243"/>
    <w:rsid w:val="0027730D"/>
    <w:rsid w:val="002810E5"/>
    <w:rsid w:val="002834A7"/>
    <w:rsid w:val="002909D4"/>
    <w:rsid w:val="0029102A"/>
    <w:rsid w:val="00293039"/>
    <w:rsid w:val="00294101"/>
    <w:rsid w:val="002A122F"/>
    <w:rsid w:val="002A6A5F"/>
    <w:rsid w:val="002B2F5E"/>
    <w:rsid w:val="002B7334"/>
    <w:rsid w:val="002B7530"/>
    <w:rsid w:val="002B76CE"/>
    <w:rsid w:val="002B77F9"/>
    <w:rsid w:val="002C2D01"/>
    <w:rsid w:val="002C7383"/>
    <w:rsid w:val="002D2DD6"/>
    <w:rsid w:val="002D3CA1"/>
    <w:rsid w:val="002D3E3D"/>
    <w:rsid w:val="002D45B3"/>
    <w:rsid w:val="002D6999"/>
    <w:rsid w:val="002D707E"/>
    <w:rsid w:val="002E1D8B"/>
    <w:rsid w:val="002E7412"/>
    <w:rsid w:val="002F3A75"/>
    <w:rsid w:val="0030069A"/>
    <w:rsid w:val="00301EBD"/>
    <w:rsid w:val="0030385B"/>
    <w:rsid w:val="0030524C"/>
    <w:rsid w:val="00305F9B"/>
    <w:rsid w:val="00307512"/>
    <w:rsid w:val="003079AE"/>
    <w:rsid w:val="003103FE"/>
    <w:rsid w:val="00314447"/>
    <w:rsid w:val="003210AF"/>
    <w:rsid w:val="003224D1"/>
    <w:rsid w:val="0032319F"/>
    <w:rsid w:val="00323B87"/>
    <w:rsid w:val="00326210"/>
    <w:rsid w:val="00326B3E"/>
    <w:rsid w:val="00326F8F"/>
    <w:rsid w:val="00330780"/>
    <w:rsid w:val="0033233E"/>
    <w:rsid w:val="0033234C"/>
    <w:rsid w:val="00332BC9"/>
    <w:rsid w:val="0033700F"/>
    <w:rsid w:val="00343D24"/>
    <w:rsid w:val="00346DE4"/>
    <w:rsid w:val="003471EB"/>
    <w:rsid w:val="003500AB"/>
    <w:rsid w:val="00352446"/>
    <w:rsid w:val="00355858"/>
    <w:rsid w:val="00356DC9"/>
    <w:rsid w:val="003570B0"/>
    <w:rsid w:val="00357555"/>
    <w:rsid w:val="003619DC"/>
    <w:rsid w:val="00361F12"/>
    <w:rsid w:val="0036413C"/>
    <w:rsid w:val="00365D8E"/>
    <w:rsid w:val="00372679"/>
    <w:rsid w:val="00373EC5"/>
    <w:rsid w:val="0037541D"/>
    <w:rsid w:val="003768AF"/>
    <w:rsid w:val="0037722B"/>
    <w:rsid w:val="0038243E"/>
    <w:rsid w:val="00385E94"/>
    <w:rsid w:val="00387E59"/>
    <w:rsid w:val="0039037A"/>
    <w:rsid w:val="003903B7"/>
    <w:rsid w:val="003952E4"/>
    <w:rsid w:val="003A34A3"/>
    <w:rsid w:val="003A5CD1"/>
    <w:rsid w:val="003B21C0"/>
    <w:rsid w:val="003B3015"/>
    <w:rsid w:val="003B380B"/>
    <w:rsid w:val="003C1DB7"/>
    <w:rsid w:val="003C4C40"/>
    <w:rsid w:val="003C610A"/>
    <w:rsid w:val="003C74A3"/>
    <w:rsid w:val="003D0F0B"/>
    <w:rsid w:val="003D0FBA"/>
    <w:rsid w:val="003D4715"/>
    <w:rsid w:val="003D6F0A"/>
    <w:rsid w:val="003D7335"/>
    <w:rsid w:val="003E02C4"/>
    <w:rsid w:val="003E18B4"/>
    <w:rsid w:val="003E4BC6"/>
    <w:rsid w:val="003E5120"/>
    <w:rsid w:val="003E6B4C"/>
    <w:rsid w:val="00402909"/>
    <w:rsid w:val="004054B9"/>
    <w:rsid w:val="00405C11"/>
    <w:rsid w:val="00406AF2"/>
    <w:rsid w:val="00410221"/>
    <w:rsid w:val="00410F23"/>
    <w:rsid w:val="00411912"/>
    <w:rsid w:val="00430C14"/>
    <w:rsid w:val="00435FC5"/>
    <w:rsid w:val="0044106F"/>
    <w:rsid w:val="00443FAF"/>
    <w:rsid w:val="00444035"/>
    <w:rsid w:val="0044583E"/>
    <w:rsid w:val="00446D8D"/>
    <w:rsid w:val="00447021"/>
    <w:rsid w:val="00450FD7"/>
    <w:rsid w:val="004512D7"/>
    <w:rsid w:val="00452CD1"/>
    <w:rsid w:val="004634C5"/>
    <w:rsid w:val="0046697A"/>
    <w:rsid w:val="00471B9A"/>
    <w:rsid w:val="00472FAC"/>
    <w:rsid w:val="00474783"/>
    <w:rsid w:val="00480010"/>
    <w:rsid w:val="004812D5"/>
    <w:rsid w:val="00484153"/>
    <w:rsid w:val="00484688"/>
    <w:rsid w:val="00486136"/>
    <w:rsid w:val="00491284"/>
    <w:rsid w:val="004948B9"/>
    <w:rsid w:val="00494B5C"/>
    <w:rsid w:val="004A33BD"/>
    <w:rsid w:val="004B1DCF"/>
    <w:rsid w:val="004B278B"/>
    <w:rsid w:val="004B6285"/>
    <w:rsid w:val="004B6940"/>
    <w:rsid w:val="004B7A41"/>
    <w:rsid w:val="004C09F0"/>
    <w:rsid w:val="004C1B41"/>
    <w:rsid w:val="004C4434"/>
    <w:rsid w:val="004C4E50"/>
    <w:rsid w:val="004C540A"/>
    <w:rsid w:val="004D1FB4"/>
    <w:rsid w:val="004D3A0D"/>
    <w:rsid w:val="004D6E80"/>
    <w:rsid w:val="004E14DE"/>
    <w:rsid w:val="004E1C50"/>
    <w:rsid w:val="004E4D41"/>
    <w:rsid w:val="004E4F80"/>
    <w:rsid w:val="004E736C"/>
    <w:rsid w:val="004F1BBB"/>
    <w:rsid w:val="004F1F82"/>
    <w:rsid w:val="004F5CFE"/>
    <w:rsid w:val="00502318"/>
    <w:rsid w:val="005026DB"/>
    <w:rsid w:val="00503DA8"/>
    <w:rsid w:val="00503DE7"/>
    <w:rsid w:val="00504115"/>
    <w:rsid w:val="005053C3"/>
    <w:rsid w:val="00511289"/>
    <w:rsid w:val="0051202B"/>
    <w:rsid w:val="00513C0F"/>
    <w:rsid w:val="0052020D"/>
    <w:rsid w:val="00520CED"/>
    <w:rsid w:val="00523324"/>
    <w:rsid w:val="00525CC2"/>
    <w:rsid w:val="005370FB"/>
    <w:rsid w:val="00537EC7"/>
    <w:rsid w:val="00542019"/>
    <w:rsid w:val="00542106"/>
    <w:rsid w:val="00542C45"/>
    <w:rsid w:val="00546521"/>
    <w:rsid w:val="00546DCE"/>
    <w:rsid w:val="00550A93"/>
    <w:rsid w:val="005510D7"/>
    <w:rsid w:val="005522AF"/>
    <w:rsid w:val="00556826"/>
    <w:rsid w:val="005609A5"/>
    <w:rsid w:val="0056197C"/>
    <w:rsid w:val="00562D7E"/>
    <w:rsid w:val="00563A53"/>
    <w:rsid w:val="00564EA9"/>
    <w:rsid w:val="00565B3E"/>
    <w:rsid w:val="0056676A"/>
    <w:rsid w:val="00571F41"/>
    <w:rsid w:val="00573A65"/>
    <w:rsid w:val="00574A14"/>
    <w:rsid w:val="00576E54"/>
    <w:rsid w:val="005808C4"/>
    <w:rsid w:val="00586C20"/>
    <w:rsid w:val="005871AC"/>
    <w:rsid w:val="00592D2F"/>
    <w:rsid w:val="005947AF"/>
    <w:rsid w:val="005A22F9"/>
    <w:rsid w:val="005A3497"/>
    <w:rsid w:val="005A40F4"/>
    <w:rsid w:val="005A6B95"/>
    <w:rsid w:val="005A7571"/>
    <w:rsid w:val="005B168E"/>
    <w:rsid w:val="005B3E70"/>
    <w:rsid w:val="005B4367"/>
    <w:rsid w:val="005C0FD4"/>
    <w:rsid w:val="005C4E90"/>
    <w:rsid w:val="005C5E43"/>
    <w:rsid w:val="005D186F"/>
    <w:rsid w:val="005D2A2B"/>
    <w:rsid w:val="005D4071"/>
    <w:rsid w:val="005D6F88"/>
    <w:rsid w:val="005E37A1"/>
    <w:rsid w:val="005E5EC5"/>
    <w:rsid w:val="005F0287"/>
    <w:rsid w:val="005F1FAA"/>
    <w:rsid w:val="005F2FD3"/>
    <w:rsid w:val="005F536D"/>
    <w:rsid w:val="005F588B"/>
    <w:rsid w:val="005F6532"/>
    <w:rsid w:val="005F7B4A"/>
    <w:rsid w:val="00600402"/>
    <w:rsid w:val="00600EC7"/>
    <w:rsid w:val="0060587F"/>
    <w:rsid w:val="00605E0A"/>
    <w:rsid w:val="00606B64"/>
    <w:rsid w:val="00612DC5"/>
    <w:rsid w:val="00616279"/>
    <w:rsid w:val="00617D37"/>
    <w:rsid w:val="0062139D"/>
    <w:rsid w:val="0062363A"/>
    <w:rsid w:val="0062592D"/>
    <w:rsid w:val="00625E17"/>
    <w:rsid w:val="00626ECE"/>
    <w:rsid w:val="00630E99"/>
    <w:rsid w:val="0063161B"/>
    <w:rsid w:val="0063370A"/>
    <w:rsid w:val="006358EE"/>
    <w:rsid w:val="00640031"/>
    <w:rsid w:val="00647ACD"/>
    <w:rsid w:val="00652A7F"/>
    <w:rsid w:val="00652BDD"/>
    <w:rsid w:val="00663657"/>
    <w:rsid w:val="00665C63"/>
    <w:rsid w:val="006674D9"/>
    <w:rsid w:val="00667E86"/>
    <w:rsid w:val="00672018"/>
    <w:rsid w:val="00673A66"/>
    <w:rsid w:val="006740DB"/>
    <w:rsid w:val="00680540"/>
    <w:rsid w:val="006809C8"/>
    <w:rsid w:val="00681298"/>
    <w:rsid w:val="0068156D"/>
    <w:rsid w:val="00682EA3"/>
    <w:rsid w:val="00687308"/>
    <w:rsid w:val="006875D6"/>
    <w:rsid w:val="006959CA"/>
    <w:rsid w:val="00695B54"/>
    <w:rsid w:val="00696684"/>
    <w:rsid w:val="00697023"/>
    <w:rsid w:val="00697D89"/>
    <w:rsid w:val="006A466D"/>
    <w:rsid w:val="006A729D"/>
    <w:rsid w:val="006B318E"/>
    <w:rsid w:val="006C0249"/>
    <w:rsid w:val="006C10BA"/>
    <w:rsid w:val="006C301B"/>
    <w:rsid w:val="006E5BFA"/>
    <w:rsid w:val="006F6E79"/>
    <w:rsid w:val="006F77D5"/>
    <w:rsid w:val="00705E3F"/>
    <w:rsid w:val="00712049"/>
    <w:rsid w:val="00712573"/>
    <w:rsid w:val="00713240"/>
    <w:rsid w:val="00717751"/>
    <w:rsid w:val="007200EC"/>
    <w:rsid w:val="007302D9"/>
    <w:rsid w:val="007355D5"/>
    <w:rsid w:val="00740DF5"/>
    <w:rsid w:val="007423BA"/>
    <w:rsid w:val="0074349C"/>
    <w:rsid w:val="00745E76"/>
    <w:rsid w:val="00747646"/>
    <w:rsid w:val="007546ED"/>
    <w:rsid w:val="0075505A"/>
    <w:rsid w:val="00755F5C"/>
    <w:rsid w:val="0075673B"/>
    <w:rsid w:val="00761F93"/>
    <w:rsid w:val="0076524A"/>
    <w:rsid w:val="00770F71"/>
    <w:rsid w:val="007777C2"/>
    <w:rsid w:val="00777F2B"/>
    <w:rsid w:val="0078085D"/>
    <w:rsid w:val="007813A7"/>
    <w:rsid w:val="0078253C"/>
    <w:rsid w:val="0078492A"/>
    <w:rsid w:val="00785AD2"/>
    <w:rsid w:val="0079246A"/>
    <w:rsid w:val="00796627"/>
    <w:rsid w:val="00797D01"/>
    <w:rsid w:val="007A50F4"/>
    <w:rsid w:val="007A5FC9"/>
    <w:rsid w:val="007A7B54"/>
    <w:rsid w:val="007B1225"/>
    <w:rsid w:val="007B35D5"/>
    <w:rsid w:val="007B3A28"/>
    <w:rsid w:val="007B7D40"/>
    <w:rsid w:val="007C019B"/>
    <w:rsid w:val="007C0F90"/>
    <w:rsid w:val="007C285E"/>
    <w:rsid w:val="007D2A72"/>
    <w:rsid w:val="007D4201"/>
    <w:rsid w:val="007D5A59"/>
    <w:rsid w:val="007E3D77"/>
    <w:rsid w:val="007F6E04"/>
    <w:rsid w:val="008015B1"/>
    <w:rsid w:val="00801DFA"/>
    <w:rsid w:val="0080393F"/>
    <w:rsid w:val="008058B7"/>
    <w:rsid w:val="00806DC1"/>
    <w:rsid w:val="008101FD"/>
    <w:rsid w:val="00811909"/>
    <w:rsid w:val="00811B2B"/>
    <w:rsid w:val="00814A77"/>
    <w:rsid w:val="00815DC2"/>
    <w:rsid w:val="00817FDC"/>
    <w:rsid w:val="00825A83"/>
    <w:rsid w:val="00826B07"/>
    <w:rsid w:val="00831718"/>
    <w:rsid w:val="00831E4D"/>
    <w:rsid w:val="0083235A"/>
    <w:rsid w:val="00834335"/>
    <w:rsid w:val="00834F48"/>
    <w:rsid w:val="00841BB6"/>
    <w:rsid w:val="00842B5D"/>
    <w:rsid w:val="00842D9F"/>
    <w:rsid w:val="0084513F"/>
    <w:rsid w:val="008479B7"/>
    <w:rsid w:val="00850EE3"/>
    <w:rsid w:val="008517DF"/>
    <w:rsid w:val="00851C5A"/>
    <w:rsid w:val="008571AE"/>
    <w:rsid w:val="0086064A"/>
    <w:rsid w:val="00867427"/>
    <w:rsid w:val="00867B83"/>
    <w:rsid w:val="008702B1"/>
    <w:rsid w:val="0087250A"/>
    <w:rsid w:val="00872C60"/>
    <w:rsid w:val="008749F6"/>
    <w:rsid w:val="008768C5"/>
    <w:rsid w:val="00876B7D"/>
    <w:rsid w:val="00880500"/>
    <w:rsid w:val="0088157B"/>
    <w:rsid w:val="00884958"/>
    <w:rsid w:val="00885A54"/>
    <w:rsid w:val="0088634E"/>
    <w:rsid w:val="00893CB2"/>
    <w:rsid w:val="00896611"/>
    <w:rsid w:val="00896721"/>
    <w:rsid w:val="008A1CED"/>
    <w:rsid w:val="008A559A"/>
    <w:rsid w:val="008A5881"/>
    <w:rsid w:val="008A58FB"/>
    <w:rsid w:val="008A67CE"/>
    <w:rsid w:val="008B0C3A"/>
    <w:rsid w:val="008B3C35"/>
    <w:rsid w:val="008C0F50"/>
    <w:rsid w:val="008C68E0"/>
    <w:rsid w:val="008C79E6"/>
    <w:rsid w:val="008D0AC0"/>
    <w:rsid w:val="008D319A"/>
    <w:rsid w:val="008D339A"/>
    <w:rsid w:val="008D6AD4"/>
    <w:rsid w:val="008D7959"/>
    <w:rsid w:val="008E2B61"/>
    <w:rsid w:val="008E5FA3"/>
    <w:rsid w:val="008E7000"/>
    <w:rsid w:val="008F2411"/>
    <w:rsid w:val="008F740B"/>
    <w:rsid w:val="00900D74"/>
    <w:rsid w:val="009012A0"/>
    <w:rsid w:val="00901C79"/>
    <w:rsid w:val="009025A8"/>
    <w:rsid w:val="00902664"/>
    <w:rsid w:val="00910251"/>
    <w:rsid w:val="0091348D"/>
    <w:rsid w:val="00927DDA"/>
    <w:rsid w:val="00927F74"/>
    <w:rsid w:val="00932D0D"/>
    <w:rsid w:val="00932E5A"/>
    <w:rsid w:val="009333EC"/>
    <w:rsid w:val="0093392F"/>
    <w:rsid w:val="00935D47"/>
    <w:rsid w:val="00940357"/>
    <w:rsid w:val="0094449C"/>
    <w:rsid w:val="00945A38"/>
    <w:rsid w:val="00945D52"/>
    <w:rsid w:val="00946C32"/>
    <w:rsid w:val="00951C69"/>
    <w:rsid w:val="0095216D"/>
    <w:rsid w:val="0096125A"/>
    <w:rsid w:val="00966B51"/>
    <w:rsid w:val="00970AFB"/>
    <w:rsid w:val="00975AD4"/>
    <w:rsid w:val="00976F93"/>
    <w:rsid w:val="00977C4E"/>
    <w:rsid w:val="00980074"/>
    <w:rsid w:val="00982F32"/>
    <w:rsid w:val="00983CB3"/>
    <w:rsid w:val="00984F9B"/>
    <w:rsid w:val="009861B3"/>
    <w:rsid w:val="00986BA1"/>
    <w:rsid w:val="009943FB"/>
    <w:rsid w:val="00994DDB"/>
    <w:rsid w:val="00996DB5"/>
    <w:rsid w:val="009976FC"/>
    <w:rsid w:val="009A2CEF"/>
    <w:rsid w:val="009A3B33"/>
    <w:rsid w:val="009A5E94"/>
    <w:rsid w:val="009A63B8"/>
    <w:rsid w:val="009A76EE"/>
    <w:rsid w:val="009B441F"/>
    <w:rsid w:val="009B6FCE"/>
    <w:rsid w:val="009C10DF"/>
    <w:rsid w:val="009C1678"/>
    <w:rsid w:val="009C390C"/>
    <w:rsid w:val="009C433B"/>
    <w:rsid w:val="009C511D"/>
    <w:rsid w:val="009C5CA8"/>
    <w:rsid w:val="009D0816"/>
    <w:rsid w:val="009D1073"/>
    <w:rsid w:val="009D11FF"/>
    <w:rsid w:val="009D1D15"/>
    <w:rsid w:val="009D6754"/>
    <w:rsid w:val="009D7427"/>
    <w:rsid w:val="009E0185"/>
    <w:rsid w:val="009E2A6F"/>
    <w:rsid w:val="009F525B"/>
    <w:rsid w:val="009F568C"/>
    <w:rsid w:val="00A01C2C"/>
    <w:rsid w:val="00A02457"/>
    <w:rsid w:val="00A06DD1"/>
    <w:rsid w:val="00A13228"/>
    <w:rsid w:val="00A17A84"/>
    <w:rsid w:val="00A20846"/>
    <w:rsid w:val="00A217FE"/>
    <w:rsid w:val="00A22074"/>
    <w:rsid w:val="00A23D6D"/>
    <w:rsid w:val="00A24338"/>
    <w:rsid w:val="00A30D29"/>
    <w:rsid w:val="00A33583"/>
    <w:rsid w:val="00A3383C"/>
    <w:rsid w:val="00A34E5C"/>
    <w:rsid w:val="00A35D6B"/>
    <w:rsid w:val="00A416BF"/>
    <w:rsid w:val="00A442DE"/>
    <w:rsid w:val="00A44D16"/>
    <w:rsid w:val="00A62161"/>
    <w:rsid w:val="00A703E9"/>
    <w:rsid w:val="00A74932"/>
    <w:rsid w:val="00A772F0"/>
    <w:rsid w:val="00A80B5A"/>
    <w:rsid w:val="00A83DD6"/>
    <w:rsid w:val="00A8410D"/>
    <w:rsid w:val="00A857DA"/>
    <w:rsid w:val="00A878A9"/>
    <w:rsid w:val="00A908B6"/>
    <w:rsid w:val="00A90CAB"/>
    <w:rsid w:val="00A96370"/>
    <w:rsid w:val="00A9671F"/>
    <w:rsid w:val="00AA12B8"/>
    <w:rsid w:val="00AA2420"/>
    <w:rsid w:val="00AA2F15"/>
    <w:rsid w:val="00AA36C0"/>
    <w:rsid w:val="00AA46F2"/>
    <w:rsid w:val="00AB10F4"/>
    <w:rsid w:val="00AB20DF"/>
    <w:rsid w:val="00AB75B5"/>
    <w:rsid w:val="00AC1C80"/>
    <w:rsid w:val="00AC5DB0"/>
    <w:rsid w:val="00AC7154"/>
    <w:rsid w:val="00AD1647"/>
    <w:rsid w:val="00AD4181"/>
    <w:rsid w:val="00AD578A"/>
    <w:rsid w:val="00AD7444"/>
    <w:rsid w:val="00AE23D4"/>
    <w:rsid w:val="00AE2CD6"/>
    <w:rsid w:val="00AE49A4"/>
    <w:rsid w:val="00AE4F10"/>
    <w:rsid w:val="00AE53F6"/>
    <w:rsid w:val="00AE5477"/>
    <w:rsid w:val="00AF1487"/>
    <w:rsid w:val="00B038D0"/>
    <w:rsid w:val="00B056FD"/>
    <w:rsid w:val="00B12A17"/>
    <w:rsid w:val="00B12D83"/>
    <w:rsid w:val="00B13621"/>
    <w:rsid w:val="00B144B8"/>
    <w:rsid w:val="00B15BB5"/>
    <w:rsid w:val="00B172BC"/>
    <w:rsid w:val="00B2001F"/>
    <w:rsid w:val="00B22914"/>
    <w:rsid w:val="00B23C3E"/>
    <w:rsid w:val="00B23EE4"/>
    <w:rsid w:val="00B25D3F"/>
    <w:rsid w:val="00B36668"/>
    <w:rsid w:val="00B36CB9"/>
    <w:rsid w:val="00B50310"/>
    <w:rsid w:val="00B532EC"/>
    <w:rsid w:val="00B568E1"/>
    <w:rsid w:val="00B623A6"/>
    <w:rsid w:val="00B6495B"/>
    <w:rsid w:val="00B64BFA"/>
    <w:rsid w:val="00B706A2"/>
    <w:rsid w:val="00B71408"/>
    <w:rsid w:val="00B71769"/>
    <w:rsid w:val="00B735DF"/>
    <w:rsid w:val="00B74A9E"/>
    <w:rsid w:val="00B758E7"/>
    <w:rsid w:val="00B82E72"/>
    <w:rsid w:val="00B84BD3"/>
    <w:rsid w:val="00B85066"/>
    <w:rsid w:val="00B940F9"/>
    <w:rsid w:val="00B950BD"/>
    <w:rsid w:val="00BA0673"/>
    <w:rsid w:val="00BA5BAF"/>
    <w:rsid w:val="00BA6DE3"/>
    <w:rsid w:val="00BA7947"/>
    <w:rsid w:val="00BB0753"/>
    <w:rsid w:val="00BB1066"/>
    <w:rsid w:val="00BB1630"/>
    <w:rsid w:val="00BB4096"/>
    <w:rsid w:val="00BB5FC3"/>
    <w:rsid w:val="00BB6F4C"/>
    <w:rsid w:val="00BB75A7"/>
    <w:rsid w:val="00BC2CFA"/>
    <w:rsid w:val="00BC5A15"/>
    <w:rsid w:val="00BC6335"/>
    <w:rsid w:val="00BD1C76"/>
    <w:rsid w:val="00BE05E7"/>
    <w:rsid w:val="00BE0A7C"/>
    <w:rsid w:val="00BE6D1B"/>
    <w:rsid w:val="00BE7965"/>
    <w:rsid w:val="00BF0009"/>
    <w:rsid w:val="00BF2227"/>
    <w:rsid w:val="00C01C01"/>
    <w:rsid w:val="00C05394"/>
    <w:rsid w:val="00C0626E"/>
    <w:rsid w:val="00C112A3"/>
    <w:rsid w:val="00C136DD"/>
    <w:rsid w:val="00C2583B"/>
    <w:rsid w:val="00C30B60"/>
    <w:rsid w:val="00C312B3"/>
    <w:rsid w:val="00C341C0"/>
    <w:rsid w:val="00C37A66"/>
    <w:rsid w:val="00C41008"/>
    <w:rsid w:val="00C41C0C"/>
    <w:rsid w:val="00C46685"/>
    <w:rsid w:val="00C47F3A"/>
    <w:rsid w:val="00C503A5"/>
    <w:rsid w:val="00C5478D"/>
    <w:rsid w:val="00C55636"/>
    <w:rsid w:val="00C578A3"/>
    <w:rsid w:val="00C64220"/>
    <w:rsid w:val="00C64F2E"/>
    <w:rsid w:val="00C66B38"/>
    <w:rsid w:val="00C74750"/>
    <w:rsid w:val="00C77265"/>
    <w:rsid w:val="00C8391D"/>
    <w:rsid w:val="00C86516"/>
    <w:rsid w:val="00C90D53"/>
    <w:rsid w:val="00C9150F"/>
    <w:rsid w:val="00C94F1D"/>
    <w:rsid w:val="00C959D4"/>
    <w:rsid w:val="00C967CA"/>
    <w:rsid w:val="00CA25FC"/>
    <w:rsid w:val="00CA2FFA"/>
    <w:rsid w:val="00CA44DE"/>
    <w:rsid w:val="00CA585B"/>
    <w:rsid w:val="00CA782B"/>
    <w:rsid w:val="00CC02A1"/>
    <w:rsid w:val="00CC71C1"/>
    <w:rsid w:val="00CD0D1C"/>
    <w:rsid w:val="00CD36F1"/>
    <w:rsid w:val="00CD39BF"/>
    <w:rsid w:val="00CD49BE"/>
    <w:rsid w:val="00CE02C7"/>
    <w:rsid w:val="00CE0E0B"/>
    <w:rsid w:val="00CE40B6"/>
    <w:rsid w:val="00CE5E18"/>
    <w:rsid w:val="00CF21C1"/>
    <w:rsid w:val="00CF2A6B"/>
    <w:rsid w:val="00CF5C46"/>
    <w:rsid w:val="00CF6ACB"/>
    <w:rsid w:val="00D0170C"/>
    <w:rsid w:val="00D15342"/>
    <w:rsid w:val="00D17A49"/>
    <w:rsid w:val="00D20D58"/>
    <w:rsid w:val="00D215BC"/>
    <w:rsid w:val="00D22DDB"/>
    <w:rsid w:val="00D24B7B"/>
    <w:rsid w:val="00D25571"/>
    <w:rsid w:val="00D27427"/>
    <w:rsid w:val="00D31B73"/>
    <w:rsid w:val="00D34579"/>
    <w:rsid w:val="00D355C4"/>
    <w:rsid w:val="00D36E02"/>
    <w:rsid w:val="00D43FFA"/>
    <w:rsid w:val="00D51856"/>
    <w:rsid w:val="00D52612"/>
    <w:rsid w:val="00D52DFA"/>
    <w:rsid w:val="00D54DE6"/>
    <w:rsid w:val="00D60A2D"/>
    <w:rsid w:val="00D70F2B"/>
    <w:rsid w:val="00D7237E"/>
    <w:rsid w:val="00D75579"/>
    <w:rsid w:val="00D7584B"/>
    <w:rsid w:val="00D77F16"/>
    <w:rsid w:val="00D855C2"/>
    <w:rsid w:val="00D8593E"/>
    <w:rsid w:val="00D86E32"/>
    <w:rsid w:val="00D9370F"/>
    <w:rsid w:val="00D939B5"/>
    <w:rsid w:val="00D93BED"/>
    <w:rsid w:val="00D95E31"/>
    <w:rsid w:val="00DA2E55"/>
    <w:rsid w:val="00DA4BD3"/>
    <w:rsid w:val="00DA4FCF"/>
    <w:rsid w:val="00DB18A1"/>
    <w:rsid w:val="00DB3B93"/>
    <w:rsid w:val="00DB6AFA"/>
    <w:rsid w:val="00DB71D3"/>
    <w:rsid w:val="00DC345E"/>
    <w:rsid w:val="00DC5ED9"/>
    <w:rsid w:val="00DC5FE6"/>
    <w:rsid w:val="00DC7AE1"/>
    <w:rsid w:val="00DD327E"/>
    <w:rsid w:val="00DD3F07"/>
    <w:rsid w:val="00DD654E"/>
    <w:rsid w:val="00DD7BA8"/>
    <w:rsid w:val="00DE1FF7"/>
    <w:rsid w:val="00DE31BB"/>
    <w:rsid w:val="00DE41F2"/>
    <w:rsid w:val="00DE77FE"/>
    <w:rsid w:val="00DF18D4"/>
    <w:rsid w:val="00DF5413"/>
    <w:rsid w:val="00DF5616"/>
    <w:rsid w:val="00DF6404"/>
    <w:rsid w:val="00E012B5"/>
    <w:rsid w:val="00E07B45"/>
    <w:rsid w:val="00E10800"/>
    <w:rsid w:val="00E11DDC"/>
    <w:rsid w:val="00E12A43"/>
    <w:rsid w:val="00E20B69"/>
    <w:rsid w:val="00E2228B"/>
    <w:rsid w:val="00E25151"/>
    <w:rsid w:val="00E27DF7"/>
    <w:rsid w:val="00E3129D"/>
    <w:rsid w:val="00E35EA6"/>
    <w:rsid w:val="00E3604E"/>
    <w:rsid w:val="00E37842"/>
    <w:rsid w:val="00E403F9"/>
    <w:rsid w:val="00E40571"/>
    <w:rsid w:val="00E55D99"/>
    <w:rsid w:val="00E56211"/>
    <w:rsid w:val="00E567F5"/>
    <w:rsid w:val="00E56DE8"/>
    <w:rsid w:val="00E70032"/>
    <w:rsid w:val="00E72912"/>
    <w:rsid w:val="00E74C21"/>
    <w:rsid w:val="00E7597A"/>
    <w:rsid w:val="00E802F9"/>
    <w:rsid w:val="00E833A0"/>
    <w:rsid w:val="00E85CD3"/>
    <w:rsid w:val="00E910C9"/>
    <w:rsid w:val="00E926D6"/>
    <w:rsid w:val="00E92A75"/>
    <w:rsid w:val="00E951B8"/>
    <w:rsid w:val="00E954F0"/>
    <w:rsid w:val="00E97E76"/>
    <w:rsid w:val="00EA0D8D"/>
    <w:rsid w:val="00EA2074"/>
    <w:rsid w:val="00EA60E4"/>
    <w:rsid w:val="00EA66E1"/>
    <w:rsid w:val="00EA703D"/>
    <w:rsid w:val="00EB5544"/>
    <w:rsid w:val="00EB672B"/>
    <w:rsid w:val="00EB6D01"/>
    <w:rsid w:val="00EB6FA2"/>
    <w:rsid w:val="00EB723D"/>
    <w:rsid w:val="00EB7B90"/>
    <w:rsid w:val="00EC2367"/>
    <w:rsid w:val="00ED022F"/>
    <w:rsid w:val="00ED3ADD"/>
    <w:rsid w:val="00ED3FDF"/>
    <w:rsid w:val="00EE1565"/>
    <w:rsid w:val="00EE2229"/>
    <w:rsid w:val="00EE2D55"/>
    <w:rsid w:val="00EE3951"/>
    <w:rsid w:val="00EE4CA7"/>
    <w:rsid w:val="00EF0E41"/>
    <w:rsid w:val="00EF4DE9"/>
    <w:rsid w:val="00EF59BE"/>
    <w:rsid w:val="00EF5FAF"/>
    <w:rsid w:val="00EF6F20"/>
    <w:rsid w:val="00EF7766"/>
    <w:rsid w:val="00F037DC"/>
    <w:rsid w:val="00F06A0B"/>
    <w:rsid w:val="00F13F05"/>
    <w:rsid w:val="00F147D8"/>
    <w:rsid w:val="00F15493"/>
    <w:rsid w:val="00F15DD3"/>
    <w:rsid w:val="00F17EBC"/>
    <w:rsid w:val="00F20BF8"/>
    <w:rsid w:val="00F23E00"/>
    <w:rsid w:val="00F2787A"/>
    <w:rsid w:val="00F31087"/>
    <w:rsid w:val="00F3414D"/>
    <w:rsid w:val="00F342D8"/>
    <w:rsid w:val="00F3626E"/>
    <w:rsid w:val="00F36FC7"/>
    <w:rsid w:val="00F37FCD"/>
    <w:rsid w:val="00F4291B"/>
    <w:rsid w:val="00F43DF6"/>
    <w:rsid w:val="00F4791E"/>
    <w:rsid w:val="00F56CD3"/>
    <w:rsid w:val="00F672CC"/>
    <w:rsid w:val="00F714E8"/>
    <w:rsid w:val="00F73498"/>
    <w:rsid w:val="00F751B4"/>
    <w:rsid w:val="00F801E5"/>
    <w:rsid w:val="00F81495"/>
    <w:rsid w:val="00F84298"/>
    <w:rsid w:val="00F859BE"/>
    <w:rsid w:val="00F873A7"/>
    <w:rsid w:val="00F9219A"/>
    <w:rsid w:val="00F957F4"/>
    <w:rsid w:val="00F95822"/>
    <w:rsid w:val="00F96F83"/>
    <w:rsid w:val="00F97F9C"/>
    <w:rsid w:val="00FA06EE"/>
    <w:rsid w:val="00FA283E"/>
    <w:rsid w:val="00FA48CB"/>
    <w:rsid w:val="00FB097E"/>
    <w:rsid w:val="00FB74AF"/>
    <w:rsid w:val="00FC027B"/>
    <w:rsid w:val="00FC0C40"/>
    <w:rsid w:val="00FC34D2"/>
    <w:rsid w:val="00FC3EBF"/>
    <w:rsid w:val="00FD0128"/>
    <w:rsid w:val="00FD2A2C"/>
    <w:rsid w:val="00FD5B2C"/>
    <w:rsid w:val="00FD6036"/>
    <w:rsid w:val="00FD657F"/>
    <w:rsid w:val="00FD6785"/>
    <w:rsid w:val="00FD6850"/>
    <w:rsid w:val="00FE10D2"/>
    <w:rsid w:val="00FF5117"/>
    <w:rsid w:val="00FF55E4"/>
    <w:rsid w:val="01167185"/>
    <w:rsid w:val="017E3102"/>
    <w:rsid w:val="01830E54"/>
    <w:rsid w:val="02C7774C"/>
    <w:rsid w:val="030E3198"/>
    <w:rsid w:val="032635F1"/>
    <w:rsid w:val="03393E3E"/>
    <w:rsid w:val="034035B5"/>
    <w:rsid w:val="03702755"/>
    <w:rsid w:val="03E11588"/>
    <w:rsid w:val="053A6E32"/>
    <w:rsid w:val="069E5033"/>
    <w:rsid w:val="06AF57B9"/>
    <w:rsid w:val="07854C4B"/>
    <w:rsid w:val="07E33F05"/>
    <w:rsid w:val="07E559BF"/>
    <w:rsid w:val="081E402E"/>
    <w:rsid w:val="082B5078"/>
    <w:rsid w:val="08C94B9F"/>
    <w:rsid w:val="0A262A4B"/>
    <w:rsid w:val="0A56420C"/>
    <w:rsid w:val="0A686B78"/>
    <w:rsid w:val="0A741DDB"/>
    <w:rsid w:val="0AF339D2"/>
    <w:rsid w:val="0B156A2A"/>
    <w:rsid w:val="0B474A47"/>
    <w:rsid w:val="0B680F8C"/>
    <w:rsid w:val="0D012449"/>
    <w:rsid w:val="0E3619C0"/>
    <w:rsid w:val="0E4B14DD"/>
    <w:rsid w:val="0E704D93"/>
    <w:rsid w:val="0F27479A"/>
    <w:rsid w:val="0FDA75C4"/>
    <w:rsid w:val="10522432"/>
    <w:rsid w:val="10F74F08"/>
    <w:rsid w:val="1157715B"/>
    <w:rsid w:val="11DB39D0"/>
    <w:rsid w:val="12066FDC"/>
    <w:rsid w:val="12541B34"/>
    <w:rsid w:val="12AF6E65"/>
    <w:rsid w:val="12C61BD7"/>
    <w:rsid w:val="13274F51"/>
    <w:rsid w:val="13645E66"/>
    <w:rsid w:val="13797B02"/>
    <w:rsid w:val="13AB6165"/>
    <w:rsid w:val="14F62AF8"/>
    <w:rsid w:val="15160286"/>
    <w:rsid w:val="15C56028"/>
    <w:rsid w:val="15F63B25"/>
    <w:rsid w:val="167222C7"/>
    <w:rsid w:val="16A13E2E"/>
    <w:rsid w:val="16CF4085"/>
    <w:rsid w:val="174E6B70"/>
    <w:rsid w:val="175D756C"/>
    <w:rsid w:val="176F603B"/>
    <w:rsid w:val="184F2D0F"/>
    <w:rsid w:val="18765075"/>
    <w:rsid w:val="196E03DC"/>
    <w:rsid w:val="197C2130"/>
    <w:rsid w:val="19BF6BB7"/>
    <w:rsid w:val="1A667B69"/>
    <w:rsid w:val="1A6B1C1C"/>
    <w:rsid w:val="1A84300F"/>
    <w:rsid w:val="1AAB1588"/>
    <w:rsid w:val="1AFD1C8D"/>
    <w:rsid w:val="1B370688"/>
    <w:rsid w:val="1BCA7C3C"/>
    <w:rsid w:val="1C0763B5"/>
    <w:rsid w:val="1C092230"/>
    <w:rsid w:val="1CFE27CA"/>
    <w:rsid w:val="1D8F0401"/>
    <w:rsid w:val="1E1E6855"/>
    <w:rsid w:val="1E6F3E42"/>
    <w:rsid w:val="1EDD1091"/>
    <w:rsid w:val="1F03069B"/>
    <w:rsid w:val="1F4F1798"/>
    <w:rsid w:val="1F5570BE"/>
    <w:rsid w:val="1F923AD8"/>
    <w:rsid w:val="1FBB4172"/>
    <w:rsid w:val="1FCE6B06"/>
    <w:rsid w:val="2035611D"/>
    <w:rsid w:val="20E911F1"/>
    <w:rsid w:val="21241074"/>
    <w:rsid w:val="21F15831"/>
    <w:rsid w:val="2208480B"/>
    <w:rsid w:val="224571A4"/>
    <w:rsid w:val="22B50EFD"/>
    <w:rsid w:val="22BC45F7"/>
    <w:rsid w:val="22DB43BA"/>
    <w:rsid w:val="22EA6670"/>
    <w:rsid w:val="23011BF0"/>
    <w:rsid w:val="24495BD5"/>
    <w:rsid w:val="24BC25F9"/>
    <w:rsid w:val="25111BF9"/>
    <w:rsid w:val="253D07B1"/>
    <w:rsid w:val="26682367"/>
    <w:rsid w:val="26CD00AB"/>
    <w:rsid w:val="26D7444E"/>
    <w:rsid w:val="28020C35"/>
    <w:rsid w:val="28875A5D"/>
    <w:rsid w:val="28964891"/>
    <w:rsid w:val="289B06AA"/>
    <w:rsid w:val="28BC37B9"/>
    <w:rsid w:val="28F543A9"/>
    <w:rsid w:val="29CE2807"/>
    <w:rsid w:val="2A3426D4"/>
    <w:rsid w:val="2AB2516F"/>
    <w:rsid w:val="2ADD1BE7"/>
    <w:rsid w:val="2AF62F95"/>
    <w:rsid w:val="2B6F4F35"/>
    <w:rsid w:val="2BCE779E"/>
    <w:rsid w:val="2C045FD2"/>
    <w:rsid w:val="2C5A047B"/>
    <w:rsid w:val="2D594D95"/>
    <w:rsid w:val="2D9C6D5B"/>
    <w:rsid w:val="2DC617AD"/>
    <w:rsid w:val="2DD87138"/>
    <w:rsid w:val="2E3D202E"/>
    <w:rsid w:val="2E5934D2"/>
    <w:rsid w:val="2EA56C6A"/>
    <w:rsid w:val="2ECB59F7"/>
    <w:rsid w:val="2EDC342E"/>
    <w:rsid w:val="2F556B51"/>
    <w:rsid w:val="2F96379F"/>
    <w:rsid w:val="2FAC0D9E"/>
    <w:rsid w:val="2FC06D51"/>
    <w:rsid w:val="300B34D7"/>
    <w:rsid w:val="3075672D"/>
    <w:rsid w:val="3091293D"/>
    <w:rsid w:val="31000265"/>
    <w:rsid w:val="311B2854"/>
    <w:rsid w:val="3141010C"/>
    <w:rsid w:val="31414FD6"/>
    <w:rsid w:val="31EE275A"/>
    <w:rsid w:val="323B5F6E"/>
    <w:rsid w:val="32A1663A"/>
    <w:rsid w:val="32B94F4D"/>
    <w:rsid w:val="32CC3D9D"/>
    <w:rsid w:val="32CE0066"/>
    <w:rsid w:val="334A2E9C"/>
    <w:rsid w:val="33654B6A"/>
    <w:rsid w:val="33C22C49"/>
    <w:rsid w:val="33DD66DC"/>
    <w:rsid w:val="34781F35"/>
    <w:rsid w:val="3485027A"/>
    <w:rsid w:val="35761320"/>
    <w:rsid w:val="364C18CC"/>
    <w:rsid w:val="36FC5B65"/>
    <w:rsid w:val="379D5F07"/>
    <w:rsid w:val="38171072"/>
    <w:rsid w:val="38360DF5"/>
    <w:rsid w:val="39D10993"/>
    <w:rsid w:val="3A2C336B"/>
    <w:rsid w:val="3A4823AF"/>
    <w:rsid w:val="3A6503E4"/>
    <w:rsid w:val="3A910092"/>
    <w:rsid w:val="3B2904BD"/>
    <w:rsid w:val="3B3962C0"/>
    <w:rsid w:val="3BCD1486"/>
    <w:rsid w:val="3C453C5A"/>
    <w:rsid w:val="3C6C47E8"/>
    <w:rsid w:val="3CD42EEF"/>
    <w:rsid w:val="3D845D87"/>
    <w:rsid w:val="3E165283"/>
    <w:rsid w:val="3E393ABD"/>
    <w:rsid w:val="3E955EB8"/>
    <w:rsid w:val="3F2859BA"/>
    <w:rsid w:val="3FB35F4A"/>
    <w:rsid w:val="3FEE1343"/>
    <w:rsid w:val="3FFD5B2C"/>
    <w:rsid w:val="40220102"/>
    <w:rsid w:val="40A24527"/>
    <w:rsid w:val="40B503F1"/>
    <w:rsid w:val="40B970E8"/>
    <w:rsid w:val="40CC70F2"/>
    <w:rsid w:val="40EF3563"/>
    <w:rsid w:val="41F63AE3"/>
    <w:rsid w:val="430C5D74"/>
    <w:rsid w:val="43431D94"/>
    <w:rsid w:val="4347798D"/>
    <w:rsid w:val="436E5B19"/>
    <w:rsid w:val="43B33EC1"/>
    <w:rsid w:val="43E70DBA"/>
    <w:rsid w:val="442D79AC"/>
    <w:rsid w:val="44EA58B7"/>
    <w:rsid w:val="45FD2205"/>
    <w:rsid w:val="46CD2BA3"/>
    <w:rsid w:val="48734D54"/>
    <w:rsid w:val="489B53E9"/>
    <w:rsid w:val="48D506CD"/>
    <w:rsid w:val="49276B3E"/>
    <w:rsid w:val="499E7604"/>
    <w:rsid w:val="49C54DD7"/>
    <w:rsid w:val="49F46F73"/>
    <w:rsid w:val="4A25297D"/>
    <w:rsid w:val="4A380482"/>
    <w:rsid w:val="4A5252E3"/>
    <w:rsid w:val="4A91322B"/>
    <w:rsid w:val="4AE131B5"/>
    <w:rsid w:val="4B5E1C5A"/>
    <w:rsid w:val="4B6E203D"/>
    <w:rsid w:val="4B7351A0"/>
    <w:rsid w:val="4B8A23F7"/>
    <w:rsid w:val="4C056B9B"/>
    <w:rsid w:val="4C0A75B4"/>
    <w:rsid w:val="4CAF3F46"/>
    <w:rsid w:val="4CD13F98"/>
    <w:rsid w:val="4DBE14B3"/>
    <w:rsid w:val="4DF848B5"/>
    <w:rsid w:val="4E6116CE"/>
    <w:rsid w:val="4EB77B72"/>
    <w:rsid w:val="4ECB1469"/>
    <w:rsid w:val="4FBF6963"/>
    <w:rsid w:val="4FFA6CF3"/>
    <w:rsid w:val="4FFB2EBA"/>
    <w:rsid w:val="5034259B"/>
    <w:rsid w:val="504C0AD1"/>
    <w:rsid w:val="50C569B0"/>
    <w:rsid w:val="5100667D"/>
    <w:rsid w:val="51736F37"/>
    <w:rsid w:val="518E2AFE"/>
    <w:rsid w:val="521E1402"/>
    <w:rsid w:val="52D8134F"/>
    <w:rsid w:val="52F46222"/>
    <w:rsid w:val="53007D15"/>
    <w:rsid w:val="535E5F81"/>
    <w:rsid w:val="537C0067"/>
    <w:rsid w:val="54446AF3"/>
    <w:rsid w:val="54586594"/>
    <w:rsid w:val="552E651D"/>
    <w:rsid w:val="553D6BEC"/>
    <w:rsid w:val="554C0CAB"/>
    <w:rsid w:val="55883563"/>
    <w:rsid w:val="5624623E"/>
    <w:rsid w:val="56290F18"/>
    <w:rsid w:val="565663C1"/>
    <w:rsid w:val="56960A13"/>
    <w:rsid w:val="56A35AA2"/>
    <w:rsid w:val="572B4854"/>
    <w:rsid w:val="574F16E1"/>
    <w:rsid w:val="57850272"/>
    <w:rsid w:val="578C01B8"/>
    <w:rsid w:val="581B21FB"/>
    <w:rsid w:val="582669E5"/>
    <w:rsid w:val="58442662"/>
    <w:rsid w:val="58BC10F6"/>
    <w:rsid w:val="58FF18E9"/>
    <w:rsid w:val="59387C65"/>
    <w:rsid w:val="595714F4"/>
    <w:rsid w:val="59726A2F"/>
    <w:rsid w:val="59893878"/>
    <w:rsid w:val="5A0A3EED"/>
    <w:rsid w:val="5A562725"/>
    <w:rsid w:val="5A811BC8"/>
    <w:rsid w:val="5ADC630F"/>
    <w:rsid w:val="5B0D1E5E"/>
    <w:rsid w:val="5B1E3ED7"/>
    <w:rsid w:val="5B440428"/>
    <w:rsid w:val="5BB07457"/>
    <w:rsid w:val="5BE11D5D"/>
    <w:rsid w:val="5CAF4150"/>
    <w:rsid w:val="5D8F3630"/>
    <w:rsid w:val="5DAC209A"/>
    <w:rsid w:val="5E141F47"/>
    <w:rsid w:val="5E3F678B"/>
    <w:rsid w:val="5E6C1F12"/>
    <w:rsid w:val="5E920A30"/>
    <w:rsid w:val="5FF80994"/>
    <w:rsid w:val="601A0859"/>
    <w:rsid w:val="602D63E6"/>
    <w:rsid w:val="603A0571"/>
    <w:rsid w:val="60480119"/>
    <w:rsid w:val="60C53BBD"/>
    <w:rsid w:val="60EA5465"/>
    <w:rsid w:val="612140FC"/>
    <w:rsid w:val="61422CEF"/>
    <w:rsid w:val="615F6C81"/>
    <w:rsid w:val="61883A68"/>
    <w:rsid w:val="619A382E"/>
    <w:rsid w:val="619F5718"/>
    <w:rsid w:val="61DA4E97"/>
    <w:rsid w:val="61FF0867"/>
    <w:rsid w:val="620E3147"/>
    <w:rsid w:val="626F56C2"/>
    <w:rsid w:val="62760743"/>
    <w:rsid w:val="63A05E59"/>
    <w:rsid w:val="63F17A68"/>
    <w:rsid w:val="64452165"/>
    <w:rsid w:val="646C2D39"/>
    <w:rsid w:val="6503730A"/>
    <w:rsid w:val="650646EE"/>
    <w:rsid w:val="65126A5F"/>
    <w:rsid w:val="6538233D"/>
    <w:rsid w:val="655845B4"/>
    <w:rsid w:val="656838FA"/>
    <w:rsid w:val="65C379B5"/>
    <w:rsid w:val="65C841D3"/>
    <w:rsid w:val="66361A19"/>
    <w:rsid w:val="66E02DE1"/>
    <w:rsid w:val="66E37DFA"/>
    <w:rsid w:val="66F91DDD"/>
    <w:rsid w:val="67111897"/>
    <w:rsid w:val="67E7718C"/>
    <w:rsid w:val="68913A95"/>
    <w:rsid w:val="699D4CDD"/>
    <w:rsid w:val="69CA502A"/>
    <w:rsid w:val="6B0A592F"/>
    <w:rsid w:val="6B171879"/>
    <w:rsid w:val="6B62677F"/>
    <w:rsid w:val="6C0039C9"/>
    <w:rsid w:val="6C601A7D"/>
    <w:rsid w:val="6C8E112E"/>
    <w:rsid w:val="6CA0146F"/>
    <w:rsid w:val="6D062F65"/>
    <w:rsid w:val="6DB35CA7"/>
    <w:rsid w:val="6E8E5EED"/>
    <w:rsid w:val="6EAE1738"/>
    <w:rsid w:val="6EB70940"/>
    <w:rsid w:val="6EE24740"/>
    <w:rsid w:val="6EFC2252"/>
    <w:rsid w:val="6F4A07C6"/>
    <w:rsid w:val="6FA578E3"/>
    <w:rsid w:val="6FB8425A"/>
    <w:rsid w:val="6FC14629"/>
    <w:rsid w:val="70A02193"/>
    <w:rsid w:val="70F31B78"/>
    <w:rsid w:val="714270F7"/>
    <w:rsid w:val="71820360"/>
    <w:rsid w:val="718F618F"/>
    <w:rsid w:val="71E65D2F"/>
    <w:rsid w:val="722E6052"/>
    <w:rsid w:val="72744368"/>
    <w:rsid w:val="727D68EB"/>
    <w:rsid w:val="72C96EBB"/>
    <w:rsid w:val="72CC2141"/>
    <w:rsid w:val="72FD4701"/>
    <w:rsid w:val="734B5234"/>
    <w:rsid w:val="739C7F16"/>
    <w:rsid w:val="73CE5C41"/>
    <w:rsid w:val="73F41950"/>
    <w:rsid w:val="7431364C"/>
    <w:rsid w:val="74582E38"/>
    <w:rsid w:val="75423773"/>
    <w:rsid w:val="757072B9"/>
    <w:rsid w:val="75B36444"/>
    <w:rsid w:val="762767F8"/>
    <w:rsid w:val="763717EC"/>
    <w:rsid w:val="76622E16"/>
    <w:rsid w:val="766D6D1F"/>
    <w:rsid w:val="7684767B"/>
    <w:rsid w:val="76952469"/>
    <w:rsid w:val="76B02B12"/>
    <w:rsid w:val="77107AC2"/>
    <w:rsid w:val="778C7AF4"/>
    <w:rsid w:val="77CC0DD1"/>
    <w:rsid w:val="7800705D"/>
    <w:rsid w:val="784C06DE"/>
    <w:rsid w:val="78CD29EE"/>
    <w:rsid w:val="78FA02E8"/>
    <w:rsid w:val="79202C60"/>
    <w:rsid w:val="798119DF"/>
    <w:rsid w:val="79996D54"/>
    <w:rsid w:val="79B66061"/>
    <w:rsid w:val="79BC1686"/>
    <w:rsid w:val="79C65997"/>
    <w:rsid w:val="7A5C4FDB"/>
    <w:rsid w:val="7A6F3FA1"/>
    <w:rsid w:val="7A8159C0"/>
    <w:rsid w:val="7A830D3E"/>
    <w:rsid w:val="7ABD5EA7"/>
    <w:rsid w:val="7B08515E"/>
    <w:rsid w:val="7B2847C2"/>
    <w:rsid w:val="7B501D98"/>
    <w:rsid w:val="7C5C1A17"/>
    <w:rsid w:val="7CE25446"/>
    <w:rsid w:val="7D3420A3"/>
    <w:rsid w:val="7E064A59"/>
    <w:rsid w:val="7E071041"/>
    <w:rsid w:val="7E40420C"/>
    <w:rsid w:val="7E781B00"/>
    <w:rsid w:val="7E914732"/>
    <w:rsid w:val="7F974A7E"/>
    <w:rsid w:val="7FBA455C"/>
    <w:rsid w:val="7FED6C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6"/>
    <w:basedOn w:val="1"/>
    <w:next w:val="1"/>
    <w:link w:val="33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Balloon Text"/>
    <w:basedOn w:val="1"/>
    <w:link w:val="34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Body Text First Indent 2"/>
    <w:basedOn w:val="5"/>
    <w:next w:val="1"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  <w:bCs/>
      <w:vanish/>
    </w:rPr>
  </w:style>
  <w:style w:type="character" w:styleId="19">
    <w:name w:val="FollowedHyperlink"/>
    <w:basedOn w:val="17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Emphasis"/>
    <w:basedOn w:val="17"/>
    <w:qFormat/>
    <w:uiPriority w:val="20"/>
    <w:rPr>
      <w:b/>
      <w:bCs/>
    </w:rPr>
  </w:style>
  <w:style w:type="character" w:styleId="21">
    <w:name w:val="HTML Definition"/>
    <w:basedOn w:val="17"/>
    <w:semiHidden/>
    <w:unhideWhenUsed/>
    <w:qFormat/>
    <w:uiPriority w:val="99"/>
  </w:style>
  <w:style w:type="character" w:styleId="22">
    <w:name w:val="HTML Typewriter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3">
    <w:name w:val="HTML Acronym"/>
    <w:basedOn w:val="17"/>
    <w:semiHidden/>
    <w:unhideWhenUsed/>
    <w:qFormat/>
    <w:uiPriority w:val="99"/>
  </w:style>
  <w:style w:type="character" w:styleId="24">
    <w:name w:val="HTML Variable"/>
    <w:basedOn w:val="17"/>
    <w:semiHidden/>
    <w:unhideWhenUsed/>
    <w:qFormat/>
    <w:uiPriority w:val="99"/>
  </w:style>
  <w:style w:type="character" w:styleId="25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HTML Code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7">
    <w:name w:val="HTML Cite"/>
    <w:basedOn w:val="17"/>
    <w:semiHidden/>
    <w:unhideWhenUsed/>
    <w:qFormat/>
    <w:uiPriority w:val="99"/>
  </w:style>
  <w:style w:type="character" w:styleId="28">
    <w:name w:val="HTML Keyboard"/>
    <w:basedOn w:val="17"/>
    <w:semiHidden/>
    <w:unhideWhenUsed/>
    <w:qFormat/>
    <w:uiPriority w:val="99"/>
    <w:rPr>
      <w:rFonts w:ascii="monospace" w:hAnsi="monospace" w:eastAsia="monospace" w:cs="monospace"/>
      <w:color w:val="FFFFFF"/>
      <w:sz w:val="19"/>
      <w:szCs w:val="19"/>
      <w:shd w:val="clear" w:fill="F6F6F6"/>
    </w:rPr>
  </w:style>
  <w:style w:type="character" w:styleId="29">
    <w:name w:val="HTML Sample"/>
    <w:basedOn w:val="17"/>
    <w:semiHidden/>
    <w:unhideWhenUsed/>
    <w:qFormat/>
    <w:uiPriority w:val="99"/>
    <w:rPr>
      <w:rFonts w:hint="default" w:ascii="monospace" w:hAnsi="monospace" w:eastAsia="monospace" w:cs="monospace"/>
    </w:rPr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character" w:customStyle="1" w:styleId="31">
    <w:name w:val="页眉 Char"/>
    <w:basedOn w:val="17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2">
    <w:name w:val="页脚 Char"/>
    <w:basedOn w:val="17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3">
    <w:name w:val="标题 6 Char"/>
    <w:basedOn w:val="17"/>
    <w:link w:val="4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4">
    <w:name w:val="批注框文本 Char"/>
    <w:basedOn w:val="17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5">
    <w:name w:val="Default Paragraph Char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hover"/>
    <w:basedOn w:val="17"/>
    <w:qFormat/>
    <w:uiPriority w:val="0"/>
  </w:style>
  <w:style w:type="character" w:customStyle="1" w:styleId="38">
    <w:name w:val="hover1"/>
    <w:basedOn w:val="17"/>
    <w:qFormat/>
    <w:uiPriority w:val="0"/>
    <w:rPr>
      <w:color w:val="2590EB"/>
    </w:rPr>
  </w:style>
  <w:style w:type="character" w:customStyle="1" w:styleId="39">
    <w:name w:val="hover2"/>
    <w:basedOn w:val="17"/>
    <w:qFormat/>
    <w:uiPriority w:val="0"/>
    <w:rPr>
      <w:color w:val="2590EB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1">
    <w:name w:val="标题 2 Char"/>
    <w:basedOn w:val="17"/>
    <w:link w:val="3"/>
    <w:qFormat/>
    <w:uiPriority w:val="9"/>
    <w:rPr>
      <w:rFonts w:ascii="Arial" w:hAnsi="Arial" w:eastAsia="黑体"/>
      <w:b/>
      <w:bCs/>
      <w:sz w:val="32"/>
      <w:szCs w:val="32"/>
    </w:rPr>
  </w:style>
  <w:style w:type="paragraph" w:styleId="42">
    <w:name w:val="No Spacing"/>
    <w:qFormat/>
    <w:uiPriority w:val="1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集团正文"/>
    <w:basedOn w:val="1"/>
    <w:qFormat/>
    <w:uiPriority w:val="0"/>
    <w:pPr>
      <w:spacing w:line="576" w:lineRule="exact"/>
      <w:ind w:leftChars="0" w:firstLine="880" w:firstLineChars="200"/>
    </w:pPr>
    <w:rPr>
      <w:rFonts w:hint="eastAsia" w:ascii="仿宋_GB2312" w:hAnsi="仿宋_GB2312" w:eastAsia="仿宋_GB2312" w:cs="Times New Roman"/>
      <w:sz w:val="32"/>
      <w:szCs w:val="32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1" Type="http://schemas.openxmlformats.org/officeDocument/2006/relationships/fontTable" Target="fontTable.xml"/><Relationship Id="rId40" Type="http://schemas.microsoft.com/office/2006/relationships/keyMapCustomizations" Target="customizations.xml"/><Relationship Id="rId4" Type="http://schemas.openxmlformats.org/officeDocument/2006/relationships/footer" Target="footer1.xml"/><Relationship Id="rId39" Type="http://schemas.openxmlformats.org/officeDocument/2006/relationships/customXml" Target="../customXml/item2.xml"/><Relationship Id="rId38" Type="http://schemas.openxmlformats.org/officeDocument/2006/relationships/customXml" Target="../customXml/item1.xml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F0E8D5-4F8F-459D-A7CC-09D256D10A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合肥市产权交易中心</Company>
  <Pages>19</Pages>
  <Words>1825</Words>
  <Characters>10407</Characters>
  <Lines>86</Lines>
  <Paragraphs>24</Paragraphs>
  <TotalTime>15</TotalTime>
  <ScaleCrop>false</ScaleCrop>
  <LinksUpToDate>false</LinksUpToDate>
  <CharactersWithSpaces>12208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2018-12-26T05:55:00Z</dcterms:created>
  <dc:creator>陈晨</dc:creator>
  <cp:lastModifiedBy>Administrator</cp:lastModifiedBy>
  <cp:lastPrinted>2018-12-26T08:43:00Z</cp:lastPrinted>
  <dcterms:modified xsi:type="dcterms:W3CDTF">2023-03-10T02:25:13Z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