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66B01">
      <w:pPr>
        <w:jc w:val="left"/>
        <w:rPr>
          <w:rFonts w:hint="eastAsia"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附件五：</w:t>
      </w:r>
    </w:p>
    <w:p w14:paraId="2F99402B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</w:pPr>
      <w:bookmarkStart w:id="1" w:name="_GoBack"/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栖熙里工程交付参考标准</w:t>
      </w:r>
    </w:p>
    <w:bookmarkEnd w:id="1"/>
    <w:p w14:paraId="0712DFF2">
      <w:pPr>
        <w:jc w:val="center"/>
        <w:rPr>
          <w:rFonts w:ascii="仿宋" w:hAnsi="仿宋" w:eastAsia="仿宋" w:cs="仿宋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（最终以竣工验收实际为准）</w:t>
      </w:r>
    </w:p>
    <w:p w14:paraId="4E8DEBB5">
      <w:pPr>
        <w:pStyle w:val="8"/>
        <w:widowControl/>
        <w:snapToGrid w:val="0"/>
        <w:spacing w:before="206" w:beforeAutospacing="0" w:after="206" w:afterAutospacing="0"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1.外立面及结构</w:t>
      </w:r>
    </w:p>
    <w:p w14:paraId="3DC8B27C">
      <w:pPr>
        <w:pStyle w:val="8"/>
        <w:widowControl/>
        <w:snapToGrid w:val="0"/>
        <w:spacing w:before="0" w:beforeAutospacing="0" w:after="0" w:afterAutospacing="0" w:line="360" w:lineRule="auto"/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外立面：</w:t>
      </w: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 本项目外立面采用全玻璃幕墙系统。</w:t>
      </w:r>
    </w:p>
    <w:p w14:paraId="7A46A31A">
      <w:pPr>
        <w:pStyle w:val="8"/>
        <w:widowControl/>
        <w:snapToGrid w:val="0"/>
        <w:spacing w:before="0" w:beforeAutospacing="0" w:after="0" w:afterAutospacing="0"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地面：</w:t>
      </w: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 室内地面混凝土楼地面，平整度良好。</w:t>
      </w:r>
    </w:p>
    <w:p w14:paraId="274CA916">
      <w:pPr>
        <w:pStyle w:val="8"/>
        <w:widowControl/>
        <w:snapToGrid w:val="0"/>
        <w:spacing w:before="0" w:beforeAutospacing="0" w:after="0" w:afterAutospacing="0"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天花：</w:t>
      </w: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 消防喷淋、烟感及公共区域照明完成。</w:t>
      </w:r>
    </w:p>
    <w:p w14:paraId="4F3B5A66">
      <w:pPr>
        <w:pStyle w:val="8"/>
        <w:widowControl/>
        <w:snapToGrid w:val="0"/>
        <w:spacing w:before="206" w:beforeAutospacing="0" w:after="206" w:afterAutospacing="0"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2.电力系统</w:t>
      </w:r>
    </w:p>
    <w:p w14:paraId="0AA08CE9">
      <w:pPr>
        <w:pStyle w:val="8"/>
        <w:widowControl/>
        <w:snapToGrid w:val="0"/>
        <w:spacing w:before="0" w:beforeAutospacing="0" w:after="0" w:afterAutospacing="0" w:line="360" w:lineRule="auto"/>
        <w:rPr>
          <w:rFonts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配电箱：</w:t>
      </w: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 配备楼层动力照明箱（不含客房照明箱及各类功能设备动力箱如空调、制冷机房、泳池等）</w:t>
      </w:r>
    </w:p>
    <w:p w14:paraId="35AEF760">
      <w:pPr>
        <w:pStyle w:val="8"/>
        <w:widowControl/>
        <w:snapToGrid w:val="0"/>
        <w:spacing w:before="0" w:beforeAutospacing="0" w:after="0" w:afterAutospacing="0" w:line="360" w:lineRule="auto"/>
        <w:rPr>
          <w:rFonts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电量：</w:t>
      </w: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 供电方案批复容量主备用共为4100KVA。</w:t>
      </w:r>
    </w:p>
    <w:p w14:paraId="357D50FF">
      <w:pPr>
        <w:pStyle w:val="8"/>
        <w:widowControl/>
        <w:snapToGrid w:val="0"/>
        <w:spacing w:before="0" w:beforeAutospacing="0" w:after="0" w:afterAutospacing="0" w:line="360" w:lineRule="auto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接口：</w:t>
      </w: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 分区域及功能房设置动力照明箱。</w:t>
      </w:r>
    </w:p>
    <w:p w14:paraId="15DFDC4B">
      <w:pPr>
        <w:pStyle w:val="8"/>
        <w:widowControl/>
        <w:snapToGrid w:val="0"/>
        <w:spacing w:before="206" w:beforeAutospacing="0" w:after="206" w:afterAutospacing="0"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3.给排水系统</w:t>
      </w:r>
    </w:p>
    <w:p w14:paraId="626A7556">
      <w:pPr>
        <w:adjustRightInd w:val="0"/>
        <w:snapToGrid w:val="0"/>
        <w:spacing w:line="360" w:lineRule="auto"/>
        <w:jc w:val="left"/>
        <w:rPr>
          <w:rFonts w:hint="eastAsia"/>
          <w:highlight w:val="none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给水：</w:t>
      </w: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 </w:t>
      </w:r>
      <w:bookmarkStart w:id="0" w:name="_Hlk144104308"/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市政给水的水表后至楼层主干管道完成，支管至卫生间截止阀，含供水泵房</w:t>
      </w:r>
      <w:bookmarkEnd w:id="0"/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。</w:t>
      </w:r>
    </w:p>
    <w:p w14:paraId="186521BD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color w:val="404040"/>
          <w:sz w:val="32"/>
          <w:szCs w:val="32"/>
          <w:highlight w:val="none"/>
          <w:shd w:val="clear" w:color="auto" w:fill="FFFFFF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排水：</w:t>
      </w: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 从室外水封井至单体内排水立管完成，支管至卫生间内0.5m。</w:t>
      </w:r>
    </w:p>
    <w:p w14:paraId="52D51653">
      <w:pPr>
        <w:pStyle w:val="8"/>
        <w:widowControl/>
        <w:snapToGrid w:val="0"/>
        <w:spacing w:before="0" w:beforeAutospacing="0" w:after="0" w:afterAutospacing="0" w:line="360" w:lineRule="auto"/>
        <w:rPr>
          <w:rFonts w:hint="eastAsia" w:ascii="仿宋" w:hAnsi="仿宋" w:eastAsia="仿宋" w:cs="仿宋"/>
          <w:color w:val="404040"/>
          <w:kern w:val="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404040"/>
          <w:sz w:val="32"/>
          <w:szCs w:val="32"/>
          <w:highlight w:val="none"/>
          <w:shd w:val="clear" w:color="auto" w:fill="FFFFFF"/>
        </w:rPr>
        <w:t>室外：</w:t>
      </w:r>
      <w:r>
        <w:rPr>
          <w:rFonts w:hint="eastAsia" w:ascii="仿宋" w:hAnsi="仿宋" w:eastAsia="仿宋" w:cs="仿宋"/>
          <w:color w:val="404040"/>
          <w:kern w:val="2"/>
          <w:sz w:val="32"/>
          <w:szCs w:val="32"/>
          <w:highlight w:val="none"/>
          <w:shd w:val="clear" w:color="auto" w:fill="FFFFFF"/>
        </w:rPr>
        <w:t>雨污水接驳至市政雨污水管网。</w:t>
      </w:r>
    </w:p>
    <w:p w14:paraId="12A46824">
      <w:pPr>
        <w:pStyle w:val="8"/>
        <w:widowControl/>
        <w:snapToGrid w:val="0"/>
        <w:spacing w:before="0" w:beforeAutospacing="0" w:after="0" w:afterAutospacing="0" w:line="360" w:lineRule="auto"/>
        <w:rPr>
          <w:rFonts w:ascii="仿宋" w:hAnsi="仿宋" w:eastAsia="仿宋" w:cs="仿宋"/>
          <w:color w:val="404040"/>
          <w:kern w:val="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404040"/>
          <w:kern w:val="2"/>
          <w:sz w:val="32"/>
          <w:szCs w:val="32"/>
          <w:highlight w:val="none"/>
          <w:shd w:val="clear" w:color="auto" w:fill="FFFFFF"/>
        </w:rPr>
        <w:t>热水：</w:t>
      </w:r>
      <w:r>
        <w:rPr>
          <w:rFonts w:hint="eastAsia" w:ascii="仿宋" w:hAnsi="仿宋" w:eastAsia="仿宋" w:cs="仿宋"/>
          <w:color w:val="404040"/>
          <w:kern w:val="2"/>
          <w:sz w:val="32"/>
          <w:szCs w:val="32"/>
          <w:highlight w:val="none"/>
          <w:shd w:val="clear" w:color="auto" w:fill="FFFFFF"/>
        </w:rPr>
        <w:t>屋面设有太阳能集热系统及热水水箱。</w:t>
      </w:r>
    </w:p>
    <w:p w14:paraId="7C595F4C">
      <w:pPr>
        <w:pStyle w:val="8"/>
        <w:widowControl/>
        <w:snapToGrid w:val="0"/>
        <w:spacing w:before="206" w:beforeAutospacing="0" w:after="206" w:afterAutospacing="0"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4.燃气系统</w:t>
      </w:r>
    </w:p>
    <w:p w14:paraId="4E106CAC">
      <w:pPr>
        <w:pStyle w:val="8"/>
        <w:widowControl/>
        <w:snapToGrid w:val="0"/>
        <w:spacing w:before="0" w:beforeAutospacing="0" w:after="0" w:afterAutospacing="0" w:line="360" w:lineRule="auto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本项目提供天然气，后续报装、开户改造费用由成交人承担，</w:t>
      </w:r>
      <w:r>
        <w:rPr>
          <w:rFonts w:hint="eastAsia" w:ascii="仿宋" w:hAnsi="仿宋" w:eastAsia="仿宋" w:cs="仿宋"/>
          <w:b/>
          <w:bCs/>
          <w:color w:val="404040"/>
          <w:sz w:val="32"/>
          <w:szCs w:val="32"/>
          <w:highlight w:val="none"/>
          <w:shd w:val="clear" w:color="auto" w:fill="FFFFFF"/>
        </w:rPr>
        <w:t>户名及产权方为招商单位。</w:t>
      </w:r>
    </w:p>
    <w:p w14:paraId="022A173B">
      <w:pPr>
        <w:pStyle w:val="8"/>
        <w:widowControl/>
        <w:snapToGrid w:val="0"/>
        <w:spacing w:before="206" w:beforeAutospacing="0" w:after="206" w:afterAutospacing="0"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5.空调系统</w:t>
      </w:r>
    </w:p>
    <w:p w14:paraId="410AC309">
      <w:pPr>
        <w:pStyle w:val="8"/>
        <w:widowControl/>
        <w:snapToGrid w:val="0"/>
        <w:spacing w:before="0" w:beforeAutospacing="0" w:after="0" w:afterAutospacing="0" w:line="360" w:lineRule="auto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本项目配备</w:t>
      </w:r>
      <w:r>
        <w:rPr>
          <w:rStyle w:val="12"/>
          <w:rFonts w:hint="eastAsia" w:ascii="仿宋" w:hAnsi="仿宋" w:eastAsia="仿宋" w:cs="仿宋"/>
          <w:b w:val="0"/>
          <w:color w:val="404040"/>
          <w:sz w:val="32"/>
          <w:szCs w:val="32"/>
          <w:highlight w:val="none"/>
          <w:shd w:val="clear" w:color="auto" w:fill="FFFFFF"/>
        </w:rPr>
        <w:t>中央空调系统（包含管道井主管，不含支管与末端设备</w:t>
      </w: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。</w:t>
      </w:r>
    </w:p>
    <w:p w14:paraId="35DFA015">
      <w:pPr>
        <w:pStyle w:val="8"/>
        <w:widowControl/>
        <w:snapToGrid w:val="0"/>
        <w:spacing w:before="206" w:beforeAutospacing="0" w:after="206" w:afterAutospacing="0"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  <w:t>6.消防系统</w:t>
      </w:r>
    </w:p>
    <w:p w14:paraId="15D131BC">
      <w:pPr>
        <w:pStyle w:val="8"/>
        <w:widowControl/>
        <w:snapToGrid w:val="0"/>
        <w:spacing w:before="0" w:beforeAutospacing="0" w:after="0" w:afterAutospacing="0" w:line="360" w:lineRule="auto"/>
        <w:rPr>
          <w:rFonts w:hint="eastAsia"/>
          <w:highlight w:val="none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highlight w:val="none"/>
          <w:shd w:val="clear" w:color="auto" w:fill="FFFFFF"/>
        </w:rPr>
        <w:t>以一次消防验收实际情况为准。</w:t>
      </w:r>
    </w:p>
    <w:p w14:paraId="007315D9">
      <w:pPr>
        <w:rPr>
          <w:highlight w:val="none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F790D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4564E"/>
    <w:rsid w:val="3AC4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eastAsia="en-US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2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2025-09-29T08:17:00Z</dcterms:created>
  <dc:creator>11</dc:creator>
  <cp:lastModifiedBy>11</cp:lastModifiedBy>
  <cp:lastPrinted>2025-09-29T08:20:19Z</cp:lastPrinted>
  <dcterms:modified xsi:type="dcterms:W3CDTF">2025-09-29T08:42:43Z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686B1183C2EB4E1697888064E0514B08_11</vt:lpwstr>
  </property>
  <property fmtid="{D5CDD505-2E9C-101B-9397-08002B2CF9AE}" pid="4" name="KSOTemplateDocerSaveRecord">
    <vt:lpwstr>eyJoZGlkIjoiOTAwMDc1Mzc2ZmUyOTQzYjE2ZGU3MGIxZjJlNjEwZGMiLCJ1c2VySWQiOiIyNDkwMjQzMjkifQ==</vt:lpwstr>
  </property>
</Properties>
</file>