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3BE0B4B">
      <w:pPr>
        <w:jc w:val="left"/>
        <w:rPr>
          <w:rFonts w:hint="eastAsia" w:ascii="宋体" w:hAnsi="宋体" w:cs="宋体"/>
          <w:sz w:val="30"/>
          <w:szCs w:val="30"/>
          <w:highlight w:val="none"/>
        </w:rPr>
      </w:pPr>
      <w:r>
        <w:rPr>
          <w:rFonts w:hint="eastAsia" w:ascii="宋体" w:hAnsi="宋体" w:cs="宋体"/>
          <w:sz w:val="30"/>
          <w:szCs w:val="30"/>
          <w:highlight w:val="none"/>
        </w:rPr>
        <w:t>附件二：</w:t>
      </w:r>
    </w:p>
    <w:p w14:paraId="4AA32708">
      <w:pPr>
        <w:jc w:val="center"/>
        <w:rPr>
          <w:rFonts w:hint="eastAsia" w:ascii="仿宋" w:hAnsi="仿宋" w:eastAsia="仿宋" w:cs="仿宋"/>
          <w:sz w:val="36"/>
          <w:szCs w:val="36"/>
          <w:highlight w:val="none"/>
        </w:rPr>
      </w:pPr>
      <w:r>
        <w:rPr>
          <w:rFonts w:hint="eastAsia" w:ascii="仿宋" w:hAnsi="仿宋" w:eastAsia="仿宋" w:cs="仿宋"/>
          <w:b/>
          <w:bCs/>
          <w:sz w:val="36"/>
          <w:szCs w:val="36"/>
          <w:highlight w:val="none"/>
        </w:rPr>
        <w:t>评分办法</w:t>
      </w:r>
    </w:p>
    <w:p w14:paraId="042EF51A">
      <w:pPr>
        <w:rPr>
          <w:rFonts w:hint="eastAsia" w:ascii="仿宋" w:hAnsi="仿宋" w:eastAsia="仿宋" w:cs="仿宋"/>
          <w:b/>
          <w:bCs/>
          <w:sz w:val="28"/>
          <w:szCs w:val="28"/>
          <w:highlight w:val="none"/>
        </w:rPr>
      </w:pPr>
      <w:r>
        <w:rPr>
          <w:rFonts w:hint="eastAsia" w:ascii="仿宋" w:hAnsi="仿宋" w:eastAsia="仿宋" w:cs="仿宋"/>
          <w:b/>
          <w:bCs/>
          <w:sz w:val="28"/>
          <w:szCs w:val="28"/>
          <w:highlight w:val="none"/>
        </w:rPr>
        <w:t>一、评分程序</w:t>
      </w:r>
    </w:p>
    <w:p w14:paraId="740E9834">
      <w:pPr>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本项目由合肥市产权交易中心根据招商单位要求组建项目评审小组对各意向方按招商公告要求提交的评审材料进行评审。采用综合评分法，其中技术分满分40分，报价分满分60分，总计100分。意向方通过资格要求，且报价不低于本项目底价的，为合格意向方。若合格意向方为1家的，评审小组可以直接推选该合格意向方为成交人；若合格意向方超过1家，则采用综合评分法按总分排序推选综合排名第一的为成交人。技术分相同时，报价分高者优先；报价分也相同的，由评标委员会根据评审材料投票，按少数服从多数的原则确定成交人。若无合格意向方的，则招商单位重启招商程序。</w:t>
      </w:r>
    </w:p>
    <w:p w14:paraId="2D7C916D">
      <w:pPr>
        <w:numPr>
          <w:ilvl w:val="0"/>
          <w:numId w:val="1"/>
        </w:numPr>
        <w:rPr>
          <w:rFonts w:hint="eastAsia" w:ascii="仿宋" w:hAnsi="仿宋" w:eastAsia="仿宋" w:cs="仿宋"/>
          <w:b/>
          <w:sz w:val="28"/>
          <w:szCs w:val="28"/>
          <w:highlight w:val="none"/>
        </w:rPr>
      </w:pPr>
      <w:r>
        <w:rPr>
          <w:rFonts w:hint="eastAsia" w:ascii="仿宋" w:hAnsi="仿宋" w:eastAsia="仿宋" w:cs="仿宋"/>
          <w:b/>
          <w:bCs/>
          <w:sz w:val="28"/>
          <w:szCs w:val="28"/>
          <w:highlight w:val="none"/>
        </w:rPr>
        <w:t>评分标准</w:t>
      </w:r>
    </w:p>
    <w:p w14:paraId="64C8F3BD">
      <w:pPr>
        <w:adjustRightInd w:val="0"/>
        <w:snapToGrid w:val="0"/>
        <w:ind w:right="-10" w:firstLine="492" w:firstLineChars="175"/>
        <w:rPr>
          <w:rFonts w:hint="eastAsia" w:ascii="仿宋" w:hAnsi="仿宋" w:eastAsia="仿宋" w:cs="仿宋"/>
          <w:b/>
          <w:highlight w:val="none"/>
        </w:rPr>
      </w:pPr>
      <w:r>
        <w:rPr>
          <w:rFonts w:hint="eastAsia" w:ascii="仿宋" w:hAnsi="仿宋" w:eastAsia="仿宋" w:cs="仿宋"/>
          <w:b/>
          <w:sz w:val="28"/>
          <w:szCs w:val="28"/>
          <w:highlight w:val="none"/>
        </w:rPr>
        <w:t>技术分评分标准</w:t>
      </w:r>
    </w:p>
    <w:tbl>
      <w:tblPr>
        <w:tblStyle w:val="3"/>
        <w:tblW w:w="486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67"/>
        <w:gridCol w:w="1084"/>
        <w:gridCol w:w="5821"/>
        <w:gridCol w:w="827"/>
      </w:tblGrid>
      <w:tr w14:paraId="65ED17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jc w:val="center"/>
        </w:trPr>
        <w:tc>
          <w:tcPr>
            <w:tcW w:w="5000" w:type="pct"/>
            <w:gridSpan w:val="4"/>
            <w:noWrap w:val="0"/>
            <w:vAlign w:val="center"/>
          </w:tcPr>
          <w:p w14:paraId="552EB74F">
            <w:pPr>
              <w:adjustRightInd w:val="0"/>
              <w:snapToGrid w:val="0"/>
              <w:jc w:val="center"/>
              <w:rPr>
                <w:rFonts w:hint="eastAsia" w:ascii="仿宋" w:hAnsi="仿宋" w:eastAsia="仿宋" w:cs="仿宋"/>
                <w:b/>
                <w:sz w:val="28"/>
                <w:szCs w:val="28"/>
                <w:highlight w:val="none"/>
              </w:rPr>
            </w:pPr>
            <w:r>
              <w:rPr>
                <w:rFonts w:hint="eastAsia" w:ascii="仿宋" w:hAnsi="仿宋" w:eastAsia="仿宋" w:cs="仿宋"/>
                <w:b/>
                <w:sz w:val="28"/>
                <w:szCs w:val="28"/>
                <w:highlight w:val="none"/>
              </w:rPr>
              <w:t>评分表-技术分</w:t>
            </w:r>
          </w:p>
        </w:tc>
      </w:tr>
      <w:tr w14:paraId="6F36C2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42" w:type="pct"/>
            <w:noWrap w:val="0"/>
            <w:vAlign w:val="center"/>
          </w:tcPr>
          <w:p w14:paraId="39032418">
            <w:pPr>
              <w:adjustRightInd w:val="0"/>
              <w:snapToGrid w:val="0"/>
              <w:jc w:val="center"/>
              <w:rPr>
                <w:rFonts w:hint="eastAsia" w:ascii="仿宋" w:hAnsi="仿宋" w:eastAsia="仿宋" w:cs="仿宋"/>
                <w:b/>
                <w:sz w:val="28"/>
                <w:szCs w:val="28"/>
                <w:highlight w:val="none"/>
              </w:rPr>
            </w:pPr>
            <w:r>
              <w:rPr>
                <w:rFonts w:hint="eastAsia" w:ascii="仿宋" w:hAnsi="仿宋" w:eastAsia="仿宋" w:cs="仿宋"/>
                <w:b/>
                <w:sz w:val="28"/>
                <w:szCs w:val="28"/>
                <w:highlight w:val="none"/>
              </w:rPr>
              <w:t>序号</w:t>
            </w:r>
          </w:p>
        </w:tc>
        <w:tc>
          <w:tcPr>
            <w:tcW w:w="653" w:type="pct"/>
            <w:noWrap w:val="0"/>
            <w:vAlign w:val="center"/>
          </w:tcPr>
          <w:p w14:paraId="73007C92">
            <w:pPr>
              <w:adjustRightInd w:val="0"/>
              <w:snapToGrid w:val="0"/>
              <w:jc w:val="center"/>
              <w:rPr>
                <w:rFonts w:hint="eastAsia" w:ascii="仿宋" w:hAnsi="仿宋" w:eastAsia="仿宋" w:cs="仿宋"/>
                <w:b/>
                <w:sz w:val="28"/>
                <w:szCs w:val="28"/>
                <w:highlight w:val="none"/>
              </w:rPr>
            </w:pPr>
            <w:r>
              <w:rPr>
                <w:rFonts w:hint="eastAsia" w:ascii="仿宋" w:hAnsi="仿宋" w:eastAsia="仿宋" w:cs="仿宋"/>
                <w:b/>
                <w:sz w:val="28"/>
                <w:szCs w:val="28"/>
                <w:highlight w:val="none"/>
              </w:rPr>
              <w:t>指标</w:t>
            </w:r>
          </w:p>
        </w:tc>
        <w:tc>
          <w:tcPr>
            <w:tcW w:w="3507" w:type="pct"/>
            <w:noWrap w:val="0"/>
            <w:vAlign w:val="center"/>
          </w:tcPr>
          <w:p w14:paraId="0DB2C61A">
            <w:pPr>
              <w:adjustRightInd w:val="0"/>
              <w:snapToGrid w:val="0"/>
              <w:ind w:firstLine="562" w:firstLineChars="200"/>
              <w:jc w:val="center"/>
              <w:rPr>
                <w:rFonts w:hint="eastAsia" w:ascii="仿宋" w:hAnsi="仿宋" w:eastAsia="仿宋" w:cs="仿宋"/>
                <w:b/>
                <w:sz w:val="28"/>
                <w:szCs w:val="28"/>
                <w:highlight w:val="none"/>
              </w:rPr>
            </w:pPr>
            <w:r>
              <w:rPr>
                <w:rFonts w:hint="eastAsia" w:ascii="仿宋" w:hAnsi="仿宋" w:eastAsia="仿宋" w:cs="仿宋"/>
                <w:b/>
                <w:sz w:val="28"/>
                <w:szCs w:val="28"/>
                <w:highlight w:val="none"/>
              </w:rPr>
              <w:t>指标描述</w:t>
            </w:r>
          </w:p>
        </w:tc>
        <w:tc>
          <w:tcPr>
            <w:tcW w:w="497" w:type="pct"/>
            <w:noWrap w:val="0"/>
            <w:vAlign w:val="center"/>
          </w:tcPr>
          <w:p w14:paraId="4C8D4C6D">
            <w:pPr>
              <w:adjustRightInd w:val="0"/>
              <w:snapToGrid w:val="0"/>
              <w:jc w:val="center"/>
              <w:rPr>
                <w:rFonts w:hint="eastAsia" w:ascii="仿宋" w:hAnsi="仿宋" w:eastAsia="仿宋" w:cs="仿宋"/>
                <w:b/>
                <w:sz w:val="28"/>
                <w:szCs w:val="28"/>
                <w:highlight w:val="none"/>
              </w:rPr>
            </w:pPr>
            <w:r>
              <w:rPr>
                <w:rFonts w:hint="eastAsia" w:ascii="仿宋" w:hAnsi="仿宋" w:eastAsia="仿宋" w:cs="仿宋"/>
                <w:b/>
                <w:sz w:val="28"/>
                <w:szCs w:val="28"/>
                <w:highlight w:val="none"/>
              </w:rPr>
              <w:t>分值范围</w:t>
            </w:r>
          </w:p>
        </w:tc>
      </w:tr>
      <w:tr w14:paraId="5FF886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42" w:type="pct"/>
            <w:noWrap w:val="0"/>
            <w:vAlign w:val="center"/>
          </w:tcPr>
          <w:p w14:paraId="0595F21D">
            <w:pPr>
              <w:jc w:val="center"/>
              <w:rPr>
                <w:rFonts w:hint="eastAsia" w:ascii="仿宋" w:hAnsi="仿宋" w:eastAsia="仿宋" w:cs="仿宋"/>
                <w:b/>
                <w:sz w:val="28"/>
                <w:szCs w:val="28"/>
                <w:highlight w:val="none"/>
              </w:rPr>
            </w:pPr>
            <w:r>
              <w:rPr>
                <w:rFonts w:hint="eastAsia" w:ascii="仿宋" w:hAnsi="仿宋" w:eastAsia="仿宋" w:cs="仿宋"/>
                <w:bCs/>
                <w:sz w:val="28"/>
                <w:szCs w:val="28"/>
                <w:highlight w:val="none"/>
              </w:rPr>
              <w:t>1</w:t>
            </w:r>
          </w:p>
        </w:tc>
        <w:tc>
          <w:tcPr>
            <w:tcW w:w="653" w:type="pct"/>
            <w:noWrap w:val="0"/>
            <w:vAlign w:val="center"/>
          </w:tcPr>
          <w:p w14:paraId="15DA74D4">
            <w:pPr>
              <w:snapToGrid w:val="0"/>
              <w:jc w:val="center"/>
              <w:rPr>
                <w:rFonts w:ascii="仿宋" w:hAnsi="仿宋" w:eastAsia="仿宋" w:cs="仿宋"/>
                <w:sz w:val="28"/>
                <w:szCs w:val="28"/>
                <w:highlight w:val="none"/>
              </w:rPr>
            </w:pPr>
            <w:r>
              <w:rPr>
                <w:rFonts w:hint="eastAsia" w:ascii="仿宋" w:hAnsi="仿宋" w:eastAsia="仿宋" w:cs="仿宋"/>
                <w:sz w:val="28"/>
                <w:szCs w:val="28"/>
                <w:highlight w:val="none"/>
              </w:rPr>
              <w:t>意向方注册资本</w:t>
            </w:r>
          </w:p>
        </w:tc>
        <w:tc>
          <w:tcPr>
            <w:tcW w:w="3507" w:type="pct"/>
            <w:noWrap w:val="0"/>
            <w:vAlign w:val="center"/>
          </w:tcPr>
          <w:p w14:paraId="1FCE1157">
            <w:pPr>
              <w:adjustRightInd w:val="0"/>
              <w:snapToGrid w:val="0"/>
              <w:rPr>
                <w:rFonts w:hint="eastAsia" w:ascii="仿宋" w:hAnsi="仿宋" w:eastAsia="仿宋" w:cs="仿宋"/>
                <w:sz w:val="28"/>
                <w:szCs w:val="28"/>
                <w:highlight w:val="none"/>
              </w:rPr>
            </w:pPr>
            <w:r>
              <w:rPr>
                <w:rFonts w:hint="eastAsia" w:ascii="仿宋" w:hAnsi="仿宋" w:eastAsia="仿宋" w:cs="仿宋"/>
                <w:sz w:val="28"/>
                <w:szCs w:val="28"/>
                <w:highlight w:val="none"/>
              </w:rPr>
              <w:t>意向方注册资本（F）：</w:t>
            </w:r>
          </w:p>
          <w:p w14:paraId="1920AC4D">
            <w:pPr>
              <w:adjustRightInd w:val="0"/>
              <w:snapToGrid w:val="0"/>
              <w:rPr>
                <w:rFonts w:hint="eastAsia" w:ascii="仿宋" w:hAnsi="仿宋" w:eastAsia="仿宋" w:cs="仿宋"/>
                <w:sz w:val="28"/>
                <w:szCs w:val="28"/>
                <w:highlight w:val="none"/>
              </w:rPr>
            </w:pPr>
            <w:r>
              <w:rPr>
                <w:rFonts w:hint="eastAsia" w:ascii="仿宋" w:hAnsi="仿宋" w:eastAsia="仿宋" w:cs="仿宋"/>
                <w:sz w:val="28"/>
                <w:szCs w:val="28"/>
                <w:highlight w:val="none"/>
              </w:rPr>
              <w:t>1.F≥1000万元，得10分；</w:t>
            </w:r>
          </w:p>
          <w:p w14:paraId="577CD1DF">
            <w:pPr>
              <w:adjustRightInd w:val="0"/>
              <w:snapToGrid w:val="0"/>
              <w:rPr>
                <w:rFonts w:hint="eastAsia" w:ascii="仿宋" w:hAnsi="仿宋" w:eastAsia="仿宋" w:cs="仿宋"/>
                <w:sz w:val="28"/>
                <w:szCs w:val="28"/>
                <w:highlight w:val="none"/>
              </w:rPr>
            </w:pPr>
            <w:r>
              <w:rPr>
                <w:rFonts w:hint="eastAsia" w:ascii="仿宋" w:hAnsi="仿宋" w:eastAsia="仿宋" w:cs="仿宋"/>
                <w:sz w:val="28"/>
                <w:szCs w:val="28"/>
                <w:highlight w:val="none"/>
              </w:rPr>
              <w:t>2.500≤F＜1000万元，得5分；</w:t>
            </w:r>
          </w:p>
          <w:p w14:paraId="1FE8E282">
            <w:pPr>
              <w:adjustRightInd w:val="0"/>
              <w:snapToGrid w:val="0"/>
              <w:rPr>
                <w:rFonts w:ascii="仿宋" w:hAnsi="仿宋" w:eastAsia="仿宋" w:cs="仿宋"/>
                <w:sz w:val="28"/>
                <w:szCs w:val="28"/>
                <w:highlight w:val="none"/>
              </w:rPr>
            </w:pPr>
            <w:r>
              <w:rPr>
                <w:rFonts w:hint="eastAsia" w:ascii="仿宋" w:hAnsi="仿宋" w:eastAsia="仿宋" w:cs="仿宋"/>
                <w:sz w:val="28"/>
                <w:szCs w:val="28"/>
                <w:highlight w:val="none"/>
              </w:rPr>
              <w:t>3.F＜500万元，得0分。</w:t>
            </w:r>
          </w:p>
          <w:p w14:paraId="63E1DD64">
            <w:pPr>
              <w:rPr>
                <w:rFonts w:hint="eastAsia" w:ascii="仿宋" w:hAnsi="仿宋" w:eastAsia="仿宋" w:cs="仿宋"/>
                <w:sz w:val="28"/>
                <w:szCs w:val="28"/>
                <w:highlight w:val="none"/>
              </w:rPr>
            </w:pPr>
            <w:r>
              <w:rPr>
                <w:rFonts w:hint="eastAsia" w:ascii="仿宋" w:hAnsi="仿宋" w:eastAsia="仿宋" w:cs="仿宋"/>
                <w:b/>
                <w:bCs/>
                <w:sz w:val="28"/>
                <w:szCs w:val="28"/>
                <w:highlight w:val="none"/>
              </w:rPr>
              <w:t>注：</w:t>
            </w:r>
          </w:p>
          <w:p w14:paraId="2A5C5974">
            <w:pPr>
              <w:adjustRightInd w:val="0"/>
              <w:snapToGrid w:val="0"/>
              <w:rPr>
                <w:rFonts w:ascii="仿宋" w:hAnsi="仿宋" w:eastAsia="仿宋" w:cs="仿宋"/>
                <w:b/>
                <w:bCs/>
                <w:sz w:val="28"/>
                <w:szCs w:val="28"/>
                <w:highlight w:val="none"/>
              </w:rPr>
            </w:pPr>
            <w:r>
              <w:rPr>
                <w:rFonts w:hint="eastAsia" w:ascii="仿宋" w:hAnsi="仿宋" w:eastAsia="仿宋" w:cs="仿宋"/>
                <w:b/>
                <w:bCs/>
                <w:sz w:val="28"/>
                <w:szCs w:val="28"/>
                <w:highlight w:val="none"/>
              </w:rPr>
              <w:t>1.评审材料提供营业执照；</w:t>
            </w:r>
          </w:p>
          <w:p w14:paraId="4A160D58">
            <w:pPr>
              <w:adjustRightInd w:val="0"/>
              <w:snapToGrid w:val="0"/>
              <w:rPr>
                <w:rFonts w:hint="eastAsia" w:ascii="仿宋" w:hAnsi="仿宋" w:eastAsia="仿宋" w:cs="仿宋"/>
                <w:b/>
                <w:bCs/>
                <w:sz w:val="28"/>
                <w:szCs w:val="28"/>
                <w:highlight w:val="none"/>
              </w:rPr>
            </w:pPr>
            <w:r>
              <w:rPr>
                <w:rFonts w:hint="eastAsia" w:ascii="仿宋" w:hAnsi="仿宋" w:eastAsia="仿宋" w:cs="仿宋"/>
                <w:b/>
                <w:bCs/>
                <w:sz w:val="28"/>
                <w:szCs w:val="28"/>
                <w:highlight w:val="none"/>
              </w:rPr>
              <w:t>2.伪造材料一经查实立即取消资格并列入招商黑名单；</w:t>
            </w:r>
          </w:p>
          <w:p w14:paraId="7F16E0EB">
            <w:pPr>
              <w:adjustRightInd w:val="0"/>
              <w:snapToGrid w:val="0"/>
              <w:rPr>
                <w:rFonts w:hint="eastAsia" w:ascii="仿宋" w:hAnsi="仿宋" w:eastAsia="仿宋" w:cs="仿宋"/>
                <w:b/>
                <w:bCs/>
                <w:sz w:val="28"/>
                <w:szCs w:val="28"/>
                <w:highlight w:val="none"/>
              </w:rPr>
            </w:pPr>
            <w:r>
              <w:rPr>
                <w:rFonts w:hint="eastAsia" w:ascii="仿宋" w:hAnsi="仿宋" w:eastAsia="仿宋" w:cs="仿宋"/>
                <w:b/>
                <w:bCs/>
                <w:sz w:val="28"/>
                <w:szCs w:val="28"/>
                <w:highlight w:val="none"/>
              </w:rPr>
              <w:t>3.其他或未提供相关材料的不得分。</w:t>
            </w:r>
          </w:p>
        </w:tc>
        <w:tc>
          <w:tcPr>
            <w:tcW w:w="497" w:type="pct"/>
            <w:noWrap w:val="0"/>
            <w:vAlign w:val="center"/>
          </w:tcPr>
          <w:p w14:paraId="3C8ED20C">
            <w:pPr>
              <w:jc w:val="center"/>
              <w:rPr>
                <w:rFonts w:hint="eastAsia" w:ascii="仿宋" w:hAnsi="仿宋" w:eastAsia="仿宋" w:cs="仿宋"/>
                <w:sz w:val="28"/>
                <w:szCs w:val="28"/>
                <w:highlight w:val="none"/>
              </w:rPr>
            </w:pPr>
            <w:r>
              <w:rPr>
                <w:rFonts w:hint="eastAsia" w:ascii="仿宋" w:hAnsi="仿宋" w:eastAsia="仿宋" w:cs="仿宋"/>
                <w:sz w:val="28"/>
                <w:szCs w:val="28"/>
                <w:highlight w:val="none"/>
              </w:rPr>
              <w:t>0-10分</w:t>
            </w:r>
          </w:p>
        </w:tc>
      </w:tr>
      <w:tr w14:paraId="484839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63" w:hRule="atLeast"/>
          <w:jc w:val="center"/>
        </w:trPr>
        <w:tc>
          <w:tcPr>
            <w:tcW w:w="342" w:type="pct"/>
            <w:noWrap w:val="0"/>
            <w:vAlign w:val="center"/>
          </w:tcPr>
          <w:p w14:paraId="380C4AA2">
            <w:pPr>
              <w:jc w:val="center"/>
              <w:rPr>
                <w:rFonts w:hint="eastAsia" w:ascii="仿宋" w:hAnsi="仿宋" w:eastAsia="仿宋" w:cs="仿宋"/>
                <w:sz w:val="28"/>
                <w:szCs w:val="28"/>
                <w:highlight w:val="none"/>
              </w:rPr>
            </w:pPr>
            <w:r>
              <w:rPr>
                <w:rFonts w:hint="eastAsia" w:ascii="仿宋" w:hAnsi="仿宋" w:eastAsia="仿宋" w:cs="仿宋"/>
                <w:sz w:val="28"/>
                <w:szCs w:val="28"/>
                <w:highlight w:val="none"/>
              </w:rPr>
              <w:t>2</w:t>
            </w:r>
          </w:p>
        </w:tc>
        <w:tc>
          <w:tcPr>
            <w:tcW w:w="653" w:type="pct"/>
            <w:noWrap w:val="0"/>
            <w:vAlign w:val="center"/>
          </w:tcPr>
          <w:p w14:paraId="75E23C86">
            <w:pPr>
              <w:suppressAutoHyphens/>
              <w:adjustRightInd w:val="0"/>
              <w:snapToGrid w:val="0"/>
              <w:jc w:val="center"/>
              <w:rPr>
                <w:rFonts w:hint="eastAsia" w:ascii="仿宋" w:hAnsi="仿宋" w:eastAsia="仿宋" w:cs="仿宋"/>
                <w:sz w:val="28"/>
                <w:szCs w:val="28"/>
                <w:highlight w:val="none"/>
              </w:rPr>
            </w:pPr>
            <w:r>
              <w:rPr>
                <w:rFonts w:hint="eastAsia" w:ascii="仿宋" w:hAnsi="仿宋" w:eastAsia="仿宋" w:cs="仿宋"/>
                <w:sz w:val="28"/>
                <w:szCs w:val="28"/>
                <w:highlight w:val="none"/>
              </w:rPr>
              <w:t>S2栋酒店业态品牌知名度（不含相关衍生品牌及同一母公司旗下其他品牌）</w:t>
            </w:r>
          </w:p>
        </w:tc>
        <w:tc>
          <w:tcPr>
            <w:tcW w:w="3507" w:type="pct"/>
            <w:noWrap w:val="0"/>
            <w:vAlign w:val="center"/>
          </w:tcPr>
          <w:p w14:paraId="22BD06E9">
            <w:pPr>
              <w:adjustRightInd w:val="0"/>
              <w:snapToGrid w:val="0"/>
              <w:rPr>
                <w:rFonts w:hint="eastAsia" w:ascii="仿宋" w:hAnsi="仿宋" w:eastAsia="仿宋" w:cs="仿宋"/>
                <w:b/>
                <w:bCs/>
                <w:sz w:val="28"/>
                <w:szCs w:val="28"/>
                <w:highlight w:val="none"/>
              </w:rPr>
            </w:pPr>
            <w:r>
              <w:rPr>
                <w:rFonts w:hint="eastAsia" w:ascii="仿宋" w:hAnsi="仿宋" w:eastAsia="仿宋" w:cs="仿宋"/>
                <w:b/>
                <w:bCs/>
                <w:sz w:val="28"/>
                <w:szCs w:val="28"/>
                <w:highlight w:val="none"/>
              </w:rPr>
              <w:t>1.行业权威指数与认证（10分）</w:t>
            </w:r>
          </w:p>
          <w:p w14:paraId="55B247BC">
            <w:pPr>
              <w:adjustRightInd w:val="0"/>
              <w:snapToGrid w:val="0"/>
              <w:rPr>
                <w:rFonts w:hint="eastAsia" w:ascii="仿宋" w:hAnsi="仿宋" w:eastAsia="仿宋" w:cs="仿宋"/>
                <w:sz w:val="28"/>
                <w:szCs w:val="28"/>
                <w:highlight w:val="none"/>
              </w:rPr>
            </w:pPr>
            <w:r>
              <w:rPr>
                <w:rFonts w:hint="eastAsia" w:ascii="仿宋" w:hAnsi="仿宋" w:eastAsia="仿宋" w:cs="仿宋"/>
                <w:sz w:val="28"/>
                <w:szCs w:val="28"/>
                <w:highlight w:val="none"/>
              </w:rPr>
              <w:t>参考迈点研究院发布的迈点品牌指数MBI及投资指数，评估意向方酒店品牌在2025年8月的行业权威指数（意向方酒店需为迈点指数网国际国内中端酒店及以上分类）：</w:t>
            </w:r>
          </w:p>
          <w:p w14:paraId="56AFB0F4">
            <w:pPr>
              <w:adjustRightInd w:val="0"/>
              <w:snapToGrid w:val="0"/>
              <w:rPr>
                <w:rFonts w:hint="eastAsia" w:ascii="仿宋" w:hAnsi="仿宋" w:eastAsia="仿宋" w:cs="仿宋"/>
                <w:sz w:val="28"/>
                <w:szCs w:val="28"/>
                <w:highlight w:val="none"/>
              </w:rPr>
            </w:pPr>
            <w:r>
              <w:rPr>
                <w:rFonts w:hint="eastAsia" w:ascii="仿宋" w:hAnsi="仿宋" w:eastAsia="仿宋" w:cs="仿宋"/>
                <w:sz w:val="28"/>
                <w:szCs w:val="28"/>
                <w:highlight w:val="none"/>
              </w:rPr>
              <w:t>MBI指数：</w:t>
            </w:r>
          </w:p>
          <w:p w14:paraId="6CC2D6FE">
            <w:pPr>
              <w:adjustRightInd w:val="0"/>
              <w:snapToGrid w:val="0"/>
              <w:rPr>
                <w:rFonts w:hint="eastAsia" w:ascii="仿宋" w:hAnsi="仿宋" w:eastAsia="仿宋" w:cs="仿宋"/>
                <w:sz w:val="28"/>
                <w:szCs w:val="28"/>
                <w:highlight w:val="none"/>
              </w:rPr>
            </w:pPr>
            <w:r>
              <w:rPr>
                <w:rFonts w:hint="eastAsia" w:ascii="仿宋" w:hAnsi="仿宋" w:eastAsia="仿宋" w:cs="仿宋"/>
                <w:sz w:val="28"/>
                <w:szCs w:val="28"/>
                <w:highlight w:val="none"/>
              </w:rPr>
              <w:t>（1）MBI指数≥550，得5分；</w:t>
            </w:r>
          </w:p>
          <w:p w14:paraId="25E8A589">
            <w:pPr>
              <w:adjustRightInd w:val="0"/>
              <w:snapToGrid w:val="0"/>
              <w:rPr>
                <w:rFonts w:hint="eastAsia" w:ascii="仿宋" w:hAnsi="仿宋" w:eastAsia="仿宋" w:cs="仿宋"/>
                <w:sz w:val="28"/>
                <w:szCs w:val="28"/>
                <w:highlight w:val="none"/>
              </w:rPr>
            </w:pPr>
            <w:r>
              <w:rPr>
                <w:rFonts w:hint="eastAsia" w:ascii="仿宋" w:hAnsi="仿宋" w:eastAsia="仿宋" w:cs="仿宋"/>
                <w:bCs/>
                <w:sz w:val="28"/>
                <w:szCs w:val="28"/>
                <w:highlight w:val="none"/>
              </w:rPr>
              <w:t>（2）400≤</w:t>
            </w:r>
            <w:r>
              <w:rPr>
                <w:rFonts w:hint="eastAsia" w:ascii="仿宋" w:hAnsi="仿宋" w:eastAsia="仿宋" w:cs="仿宋"/>
                <w:sz w:val="28"/>
                <w:szCs w:val="28"/>
                <w:highlight w:val="none"/>
              </w:rPr>
              <w:t>MBI指数</w:t>
            </w:r>
            <w:r>
              <w:rPr>
                <w:rFonts w:hint="eastAsia" w:ascii="仿宋" w:hAnsi="仿宋" w:eastAsia="仿宋" w:cs="仿宋"/>
                <w:bCs/>
                <w:sz w:val="28"/>
                <w:szCs w:val="28"/>
                <w:highlight w:val="none"/>
              </w:rPr>
              <w:t>＜</w:t>
            </w:r>
            <w:r>
              <w:rPr>
                <w:rFonts w:hint="eastAsia" w:ascii="仿宋" w:hAnsi="仿宋" w:eastAsia="仿宋" w:cs="仿宋"/>
                <w:sz w:val="28"/>
                <w:szCs w:val="28"/>
                <w:highlight w:val="none"/>
              </w:rPr>
              <w:t>550，得2分；</w:t>
            </w:r>
          </w:p>
          <w:p w14:paraId="1FB9400B">
            <w:pPr>
              <w:adjustRightInd w:val="0"/>
              <w:snapToGrid w:val="0"/>
              <w:rPr>
                <w:rFonts w:hint="eastAsia" w:ascii="仿宋" w:hAnsi="仿宋" w:eastAsia="仿宋" w:cs="仿宋"/>
                <w:sz w:val="28"/>
                <w:szCs w:val="28"/>
                <w:highlight w:val="none"/>
              </w:rPr>
            </w:pPr>
            <w:r>
              <w:rPr>
                <w:rFonts w:hint="eastAsia" w:ascii="仿宋" w:hAnsi="仿宋" w:eastAsia="仿宋" w:cs="仿宋"/>
                <w:bCs/>
                <w:sz w:val="28"/>
                <w:szCs w:val="28"/>
                <w:highlight w:val="none"/>
              </w:rPr>
              <w:t>（3）300≤</w:t>
            </w:r>
            <w:r>
              <w:rPr>
                <w:rFonts w:hint="eastAsia" w:ascii="仿宋" w:hAnsi="仿宋" w:eastAsia="仿宋" w:cs="仿宋"/>
                <w:sz w:val="28"/>
                <w:szCs w:val="28"/>
                <w:highlight w:val="none"/>
              </w:rPr>
              <w:t>MBI指数</w:t>
            </w:r>
            <w:r>
              <w:rPr>
                <w:rFonts w:hint="eastAsia" w:ascii="仿宋" w:hAnsi="仿宋" w:eastAsia="仿宋" w:cs="仿宋"/>
                <w:bCs/>
                <w:sz w:val="28"/>
                <w:szCs w:val="28"/>
                <w:highlight w:val="none"/>
              </w:rPr>
              <w:t>＜</w:t>
            </w:r>
            <w:r>
              <w:rPr>
                <w:rFonts w:hint="eastAsia" w:ascii="仿宋" w:hAnsi="仿宋" w:eastAsia="仿宋" w:cs="仿宋"/>
                <w:sz w:val="28"/>
                <w:szCs w:val="28"/>
                <w:highlight w:val="none"/>
              </w:rPr>
              <w:t>400，得1分；</w:t>
            </w:r>
          </w:p>
          <w:p w14:paraId="078980D7">
            <w:pPr>
              <w:adjustRightInd w:val="0"/>
              <w:snapToGrid w:val="0"/>
              <w:rPr>
                <w:rFonts w:hint="eastAsia" w:ascii="仿宋" w:hAnsi="仿宋" w:eastAsia="仿宋" w:cs="仿宋"/>
                <w:sz w:val="28"/>
                <w:szCs w:val="28"/>
                <w:highlight w:val="none"/>
              </w:rPr>
            </w:pPr>
            <w:r>
              <w:rPr>
                <w:rFonts w:hint="eastAsia" w:ascii="仿宋" w:hAnsi="仿宋" w:eastAsia="仿宋" w:cs="仿宋"/>
                <w:sz w:val="28"/>
                <w:szCs w:val="28"/>
                <w:highlight w:val="none"/>
              </w:rPr>
              <w:t>（4）MBI指数</w:t>
            </w:r>
            <w:r>
              <w:rPr>
                <w:rFonts w:hint="eastAsia" w:ascii="仿宋" w:hAnsi="仿宋" w:eastAsia="仿宋" w:cs="仿宋"/>
                <w:bCs/>
                <w:sz w:val="28"/>
                <w:szCs w:val="28"/>
                <w:highlight w:val="none"/>
              </w:rPr>
              <w:t>＜3</w:t>
            </w:r>
            <w:r>
              <w:rPr>
                <w:rFonts w:hint="eastAsia" w:ascii="仿宋" w:hAnsi="仿宋" w:eastAsia="仿宋" w:cs="仿宋"/>
                <w:sz w:val="28"/>
                <w:szCs w:val="28"/>
                <w:highlight w:val="none"/>
              </w:rPr>
              <w:t>00或暂无榜单指数，得0分。</w:t>
            </w:r>
          </w:p>
          <w:p w14:paraId="16FDB633">
            <w:pPr>
              <w:adjustRightInd w:val="0"/>
              <w:snapToGrid w:val="0"/>
              <w:rPr>
                <w:rFonts w:hint="eastAsia" w:ascii="仿宋" w:hAnsi="仿宋" w:eastAsia="仿宋" w:cs="仿宋"/>
                <w:sz w:val="28"/>
                <w:szCs w:val="28"/>
                <w:highlight w:val="none"/>
              </w:rPr>
            </w:pPr>
            <w:r>
              <w:rPr>
                <w:rFonts w:hint="eastAsia" w:ascii="仿宋" w:hAnsi="仿宋" w:eastAsia="仿宋" w:cs="仿宋"/>
                <w:sz w:val="28"/>
                <w:szCs w:val="28"/>
                <w:highlight w:val="none"/>
              </w:rPr>
              <w:t>投资指数：</w:t>
            </w:r>
          </w:p>
          <w:p w14:paraId="045410C6">
            <w:pPr>
              <w:adjustRightInd w:val="0"/>
              <w:snapToGrid w:val="0"/>
              <w:rPr>
                <w:rFonts w:hint="eastAsia" w:ascii="仿宋" w:hAnsi="仿宋" w:eastAsia="仿宋" w:cs="仿宋"/>
                <w:sz w:val="28"/>
                <w:szCs w:val="28"/>
                <w:highlight w:val="none"/>
              </w:rPr>
            </w:pPr>
            <w:r>
              <w:rPr>
                <w:rFonts w:hint="eastAsia" w:ascii="仿宋" w:hAnsi="仿宋" w:eastAsia="仿宋" w:cs="仿宋"/>
                <w:sz w:val="28"/>
                <w:szCs w:val="28"/>
                <w:highlight w:val="none"/>
              </w:rPr>
              <w:t>（1）投资指数≥200，得5分；</w:t>
            </w:r>
          </w:p>
          <w:p w14:paraId="6ECC3063">
            <w:pPr>
              <w:adjustRightInd w:val="0"/>
              <w:snapToGrid w:val="0"/>
              <w:rPr>
                <w:rFonts w:hint="eastAsia" w:ascii="仿宋" w:hAnsi="仿宋" w:eastAsia="仿宋" w:cs="仿宋"/>
                <w:sz w:val="28"/>
                <w:szCs w:val="28"/>
                <w:highlight w:val="none"/>
              </w:rPr>
            </w:pPr>
            <w:r>
              <w:rPr>
                <w:rFonts w:hint="eastAsia" w:ascii="仿宋" w:hAnsi="仿宋" w:eastAsia="仿宋" w:cs="仿宋"/>
                <w:bCs/>
                <w:sz w:val="28"/>
                <w:szCs w:val="28"/>
                <w:highlight w:val="none"/>
              </w:rPr>
              <w:t>（2）180≤</w:t>
            </w:r>
            <w:r>
              <w:rPr>
                <w:rFonts w:hint="eastAsia" w:ascii="仿宋" w:hAnsi="仿宋" w:eastAsia="仿宋" w:cs="仿宋"/>
                <w:sz w:val="28"/>
                <w:szCs w:val="28"/>
                <w:highlight w:val="none"/>
              </w:rPr>
              <w:t>投资指数</w:t>
            </w:r>
            <w:r>
              <w:rPr>
                <w:rFonts w:hint="eastAsia" w:ascii="仿宋" w:hAnsi="仿宋" w:eastAsia="仿宋" w:cs="仿宋"/>
                <w:bCs/>
                <w:sz w:val="28"/>
                <w:szCs w:val="28"/>
                <w:highlight w:val="none"/>
              </w:rPr>
              <w:t>＜</w:t>
            </w:r>
            <w:r>
              <w:rPr>
                <w:rFonts w:hint="eastAsia" w:ascii="仿宋" w:hAnsi="仿宋" w:eastAsia="仿宋" w:cs="仿宋"/>
                <w:sz w:val="28"/>
                <w:szCs w:val="28"/>
                <w:highlight w:val="none"/>
              </w:rPr>
              <w:t>200，得2分；</w:t>
            </w:r>
          </w:p>
          <w:p w14:paraId="1F5ABF4D">
            <w:pPr>
              <w:adjustRightInd w:val="0"/>
              <w:snapToGrid w:val="0"/>
              <w:rPr>
                <w:rFonts w:hint="eastAsia" w:ascii="仿宋" w:hAnsi="仿宋" w:eastAsia="仿宋" w:cs="仿宋"/>
                <w:sz w:val="28"/>
                <w:szCs w:val="28"/>
                <w:highlight w:val="none"/>
              </w:rPr>
            </w:pPr>
            <w:r>
              <w:rPr>
                <w:rFonts w:hint="eastAsia" w:ascii="仿宋" w:hAnsi="仿宋" w:eastAsia="仿宋" w:cs="仿宋"/>
                <w:bCs/>
                <w:sz w:val="28"/>
                <w:szCs w:val="28"/>
                <w:highlight w:val="none"/>
              </w:rPr>
              <w:t>（3）100≤</w:t>
            </w:r>
            <w:r>
              <w:rPr>
                <w:rFonts w:hint="eastAsia" w:ascii="仿宋" w:hAnsi="仿宋" w:eastAsia="仿宋" w:cs="仿宋"/>
                <w:sz w:val="28"/>
                <w:szCs w:val="28"/>
                <w:highlight w:val="none"/>
              </w:rPr>
              <w:t>投资指数</w:t>
            </w:r>
            <w:r>
              <w:rPr>
                <w:rFonts w:hint="eastAsia" w:ascii="仿宋" w:hAnsi="仿宋" w:eastAsia="仿宋" w:cs="仿宋"/>
                <w:bCs/>
                <w:sz w:val="28"/>
                <w:szCs w:val="28"/>
                <w:highlight w:val="none"/>
              </w:rPr>
              <w:t>＜</w:t>
            </w:r>
            <w:r>
              <w:rPr>
                <w:rFonts w:hint="eastAsia" w:ascii="仿宋" w:hAnsi="仿宋" w:eastAsia="仿宋" w:cs="仿宋"/>
                <w:sz w:val="28"/>
                <w:szCs w:val="28"/>
                <w:highlight w:val="none"/>
              </w:rPr>
              <w:t>180，得1分；</w:t>
            </w:r>
          </w:p>
          <w:p w14:paraId="4E4E5B41">
            <w:pPr>
              <w:adjustRightInd w:val="0"/>
              <w:snapToGrid w:val="0"/>
              <w:rPr>
                <w:rFonts w:hint="eastAsia" w:ascii="仿宋" w:hAnsi="仿宋" w:eastAsia="仿宋" w:cs="仿宋"/>
                <w:sz w:val="28"/>
                <w:szCs w:val="28"/>
                <w:highlight w:val="none"/>
              </w:rPr>
            </w:pPr>
            <w:r>
              <w:rPr>
                <w:rFonts w:hint="eastAsia" w:ascii="仿宋" w:hAnsi="仿宋" w:eastAsia="仿宋" w:cs="仿宋"/>
                <w:sz w:val="28"/>
                <w:szCs w:val="28"/>
                <w:highlight w:val="none"/>
              </w:rPr>
              <w:t>（4）投资指数</w:t>
            </w:r>
            <w:r>
              <w:rPr>
                <w:rFonts w:hint="eastAsia" w:ascii="仿宋" w:hAnsi="仿宋" w:eastAsia="仿宋" w:cs="仿宋"/>
                <w:bCs/>
                <w:sz w:val="28"/>
                <w:szCs w:val="28"/>
                <w:highlight w:val="none"/>
              </w:rPr>
              <w:t>＜</w:t>
            </w:r>
            <w:r>
              <w:rPr>
                <w:rFonts w:hint="eastAsia" w:ascii="仿宋" w:hAnsi="仿宋" w:eastAsia="仿宋" w:cs="仿宋"/>
                <w:sz w:val="28"/>
                <w:szCs w:val="28"/>
                <w:highlight w:val="none"/>
              </w:rPr>
              <w:t>100或暂无榜单指数，得0分。</w:t>
            </w:r>
          </w:p>
          <w:p w14:paraId="08363134">
            <w:pPr>
              <w:adjustRightInd w:val="0"/>
              <w:snapToGrid w:val="0"/>
              <w:rPr>
                <w:rFonts w:hint="eastAsia" w:ascii="仿宋" w:hAnsi="仿宋" w:eastAsia="仿宋" w:cs="仿宋"/>
                <w:b/>
                <w:bCs/>
                <w:sz w:val="28"/>
                <w:szCs w:val="28"/>
                <w:highlight w:val="none"/>
              </w:rPr>
            </w:pPr>
            <w:r>
              <w:rPr>
                <w:rFonts w:hint="eastAsia" w:ascii="仿宋" w:hAnsi="仿宋" w:eastAsia="仿宋" w:cs="仿宋"/>
                <w:b/>
                <w:bCs/>
                <w:sz w:val="28"/>
                <w:szCs w:val="28"/>
                <w:highlight w:val="none"/>
              </w:rPr>
              <w:t>2.区域市场覆盖能力（10分）</w:t>
            </w:r>
          </w:p>
          <w:p w14:paraId="5846527F">
            <w:pPr>
              <w:adjustRightInd w:val="0"/>
              <w:snapToGrid w:val="0"/>
              <w:rPr>
                <w:rFonts w:hint="eastAsia" w:ascii="仿宋" w:hAnsi="仿宋" w:eastAsia="仿宋" w:cs="仿宋"/>
                <w:sz w:val="28"/>
                <w:szCs w:val="28"/>
                <w:highlight w:val="none"/>
              </w:rPr>
            </w:pPr>
            <w:r>
              <w:rPr>
                <w:rFonts w:hint="eastAsia" w:ascii="仿宋" w:hAnsi="仿宋" w:eastAsia="仿宋" w:cs="仿宋"/>
                <w:sz w:val="28"/>
                <w:szCs w:val="28"/>
                <w:highlight w:val="none"/>
              </w:rPr>
              <w:t>品牌在合肥市（含所属市、县、区）的门店布局密度。</w:t>
            </w:r>
          </w:p>
          <w:p w14:paraId="4DF53986">
            <w:pPr>
              <w:adjustRightInd w:val="0"/>
              <w:snapToGrid w:val="0"/>
              <w:rPr>
                <w:rFonts w:hint="eastAsia" w:ascii="仿宋" w:hAnsi="仿宋" w:eastAsia="仿宋" w:cs="仿宋"/>
                <w:sz w:val="28"/>
                <w:szCs w:val="28"/>
                <w:highlight w:val="none"/>
              </w:rPr>
            </w:pPr>
            <w:r>
              <w:rPr>
                <w:rFonts w:hint="eastAsia" w:ascii="仿宋" w:hAnsi="仿宋" w:eastAsia="仿宋" w:cs="仿宋"/>
                <w:sz w:val="28"/>
                <w:szCs w:val="28"/>
                <w:highlight w:val="none"/>
              </w:rPr>
              <w:t>（1）合肥辖区、县内品牌酒店数量达到40家及以上的，得10分；</w:t>
            </w:r>
          </w:p>
          <w:p w14:paraId="053057AA">
            <w:pPr>
              <w:adjustRightInd w:val="0"/>
              <w:snapToGrid w:val="0"/>
              <w:rPr>
                <w:rFonts w:hint="eastAsia" w:ascii="仿宋" w:hAnsi="仿宋" w:eastAsia="仿宋" w:cs="仿宋"/>
                <w:sz w:val="28"/>
                <w:szCs w:val="28"/>
                <w:highlight w:val="none"/>
              </w:rPr>
            </w:pPr>
            <w:r>
              <w:rPr>
                <w:rFonts w:hint="eastAsia" w:ascii="仿宋" w:hAnsi="仿宋" w:eastAsia="仿宋" w:cs="仿宋"/>
                <w:sz w:val="28"/>
                <w:szCs w:val="28"/>
                <w:highlight w:val="none"/>
              </w:rPr>
              <w:t>（2）合肥辖区、县内品牌酒店数量达到30家及以上的，得7分；</w:t>
            </w:r>
          </w:p>
          <w:p w14:paraId="120D513C">
            <w:pPr>
              <w:adjustRightInd w:val="0"/>
              <w:snapToGrid w:val="0"/>
              <w:rPr>
                <w:rFonts w:hint="eastAsia" w:ascii="仿宋" w:hAnsi="仿宋" w:eastAsia="仿宋" w:cs="仿宋"/>
                <w:sz w:val="28"/>
                <w:szCs w:val="28"/>
                <w:highlight w:val="none"/>
              </w:rPr>
            </w:pPr>
            <w:r>
              <w:rPr>
                <w:rFonts w:hint="eastAsia" w:ascii="仿宋" w:hAnsi="仿宋" w:eastAsia="仿宋" w:cs="仿宋"/>
                <w:sz w:val="28"/>
                <w:szCs w:val="28"/>
                <w:highlight w:val="none"/>
              </w:rPr>
              <w:t>（3）合肥辖区、县内品牌酒店数量达到20家及以上的，得3分；</w:t>
            </w:r>
          </w:p>
          <w:p w14:paraId="4086FB57">
            <w:pPr>
              <w:adjustRightInd w:val="0"/>
              <w:snapToGrid w:val="0"/>
              <w:rPr>
                <w:rFonts w:hint="eastAsia" w:ascii="仿宋" w:hAnsi="仿宋" w:eastAsia="仿宋" w:cs="仿宋"/>
                <w:sz w:val="28"/>
                <w:szCs w:val="28"/>
                <w:highlight w:val="none"/>
              </w:rPr>
            </w:pPr>
            <w:r>
              <w:rPr>
                <w:rFonts w:hint="eastAsia" w:ascii="仿宋" w:hAnsi="仿宋" w:eastAsia="仿宋" w:cs="仿宋"/>
                <w:sz w:val="28"/>
                <w:szCs w:val="28"/>
                <w:highlight w:val="none"/>
              </w:rPr>
              <w:t>（4）合肥辖区、县内品牌酒店数量低于10家店的，得0分。</w:t>
            </w:r>
          </w:p>
          <w:p w14:paraId="521E3FB2">
            <w:pPr>
              <w:adjustRightInd w:val="0"/>
              <w:snapToGrid w:val="0"/>
              <w:rPr>
                <w:rFonts w:hint="eastAsia" w:ascii="仿宋" w:hAnsi="仿宋" w:eastAsia="仿宋" w:cs="仿宋"/>
                <w:b/>
                <w:bCs/>
                <w:sz w:val="28"/>
                <w:szCs w:val="28"/>
                <w:highlight w:val="none"/>
              </w:rPr>
            </w:pPr>
            <w:r>
              <w:rPr>
                <w:rFonts w:hint="eastAsia" w:ascii="仿宋" w:hAnsi="仿宋" w:eastAsia="仿宋" w:cs="仿宋"/>
                <w:b/>
                <w:bCs/>
                <w:sz w:val="28"/>
                <w:szCs w:val="28"/>
                <w:highlight w:val="none"/>
              </w:rPr>
              <w:t>注：</w:t>
            </w:r>
          </w:p>
          <w:p w14:paraId="0B804A7B">
            <w:pPr>
              <w:adjustRightInd w:val="0"/>
              <w:snapToGrid w:val="0"/>
              <w:rPr>
                <w:rFonts w:hint="eastAsia" w:ascii="仿宋" w:hAnsi="仿宋" w:eastAsia="仿宋" w:cs="仿宋"/>
                <w:b/>
                <w:bCs/>
                <w:sz w:val="28"/>
                <w:szCs w:val="28"/>
                <w:highlight w:val="none"/>
              </w:rPr>
            </w:pPr>
            <w:r>
              <w:rPr>
                <w:rFonts w:hint="eastAsia" w:ascii="仿宋" w:hAnsi="仿宋" w:eastAsia="仿宋" w:cs="仿宋"/>
                <w:b/>
                <w:bCs/>
                <w:sz w:val="28"/>
                <w:szCs w:val="28"/>
                <w:highlight w:val="none"/>
              </w:rPr>
              <w:t>1.迈点品牌指数MBI及投资指数将依据迈点指数网进行评审打分，意向方提供迈点指数网2025年8月份数据截图；</w:t>
            </w:r>
          </w:p>
          <w:p w14:paraId="64869478">
            <w:pPr>
              <w:adjustRightInd w:val="0"/>
              <w:snapToGrid w:val="0"/>
              <w:rPr>
                <w:rFonts w:hint="eastAsia" w:ascii="仿宋" w:hAnsi="仿宋" w:eastAsia="仿宋" w:cs="仿宋"/>
                <w:b/>
                <w:bCs/>
                <w:sz w:val="28"/>
                <w:szCs w:val="28"/>
                <w:highlight w:val="none"/>
              </w:rPr>
            </w:pPr>
            <w:r>
              <w:rPr>
                <w:rFonts w:hint="eastAsia" w:ascii="仿宋" w:hAnsi="仿宋" w:eastAsia="仿宋" w:cs="仿宋"/>
                <w:b/>
                <w:bCs/>
                <w:sz w:val="28"/>
                <w:szCs w:val="28"/>
                <w:highlight w:val="none"/>
              </w:rPr>
              <w:t>2.意向方提供合肥市现有开业门店清单（注明具体区县、开业时间）、门店位置分布图等；</w:t>
            </w:r>
          </w:p>
          <w:p w14:paraId="58213A3B">
            <w:pPr>
              <w:adjustRightInd w:val="0"/>
              <w:snapToGrid w:val="0"/>
              <w:rPr>
                <w:rFonts w:hint="eastAsia" w:ascii="仿宋" w:hAnsi="仿宋" w:eastAsia="仿宋" w:cs="仿宋"/>
                <w:b/>
                <w:bCs/>
                <w:sz w:val="28"/>
                <w:szCs w:val="28"/>
                <w:highlight w:val="none"/>
              </w:rPr>
            </w:pPr>
            <w:r>
              <w:rPr>
                <w:rFonts w:hint="eastAsia" w:ascii="仿宋" w:hAnsi="仿宋" w:eastAsia="仿宋" w:cs="仿宋"/>
                <w:b/>
                <w:bCs/>
                <w:sz w:val="28"/>
                <w:szCs w:val="28"/>
                <w:highlight w:val="none"/>
              </w:rPr>
              <w:t>3.其他或未提供相关材料的不得分。</w:t>
            </w:r>
          </w:p>
        </w:tc>
        <w:tc>
          <w:tcPr>
            <w:tcW w:w="497" w:type="pct"/>
            <w:noWrap w:val="0"/>
            <w:vAlign w:val="center"/>
          </w:tcPr>
          <w:p w14:paraId="5C9C6088">
            <w:pPr>
              <w:suppressAutoHyphens/>
              <w:adjustRightInd w:val="0"/>
              <w:snapToGrid w:val="0"/>
              <w:rPr>
                <w:rFonts w:hint="eastAsia" w:ascii="仿宋" w:hAnsi="仿宋" w:eastAsia="仿宋" w:cs="仿宋"/>
                <w:sz w:val="28"/>
                <w:szCs w:val="28"/>
                <w:highlight w:val="none"/>
              </w:rPr>
            </w:pPr>
            <w:r>
              <w:rPr>
                <w:rFonts w:hint="eastAsia" w:ascii="仿宋" w:hAnsi="仿宋" w:eastAsia="仿宋" w:cs="仿宋"/>
                <w:sz w:val="28"/>
                <w:szCs w:val="28"/>
                <w:highlight w:val="none"/>
              </w:rPr>
              <w:t>0-20分</w:t>
            </w:r>
          </w:p>
        </w:tc>
      </w:tr>
      <w:tr w14:paraId="34D74C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4" w:hRule="atLeast"/>
          <w:jc w:val="center"/>
        </w:trPr>
        <w:tc>
          <w:tcPr>
            <w:tcW w:w="342" w:type="pct"/>
            <w:noWrap w:val="0"/>
            <w:vAlign w:val="center"/>
          </w:tcPr>
          <w:p w14:paraId="7490F31F">
            <w:pPr>
              <w:jc w:val="center"/>
              <w:rPr>
                <w:rFonts w:hint="eastAsia" w:ascii="仿宋" w:hAnsi="仿宋" w:eastAsia="仿宋" w:cs="仿宋"/>
                <w:color w:val="FF0000"/>
                <w:sz w:val="28"/>
                <w:szCs w:val="28"/>
                <w:highlight w:val="none"/>
              </w:rPr>
            </w:pPr>
            <w:r>
              <w:rPr>
                <w:rFonts w:hint="eastAsia" w:ascii="仿宋" w:hAnsi="仿宋" w:eastAsia="仿宋" w:cs="仿宋"/>
                <w:sz w:val="28"/>
                <w:szCs w:val="28"/>
                <w:highlight w:val="none"/>
              </w:rPr>
              <w:t>3</w:t>
            </w:r>
          </w:p>
        </w:tc>
        <w:tc>
          <w:tcPr>
            <w:tcW w:w="653" w:type="pct"/>
            <w:noWrap w:val="0"/>
            <w:vAlign w:val="center"/>
          </w:tcPr>
          <w:p w14:paraId="62B06E2E">
            <w:pPr>
              <w:suppressAutoHyphens/>
              <w:jc w:val="center"/>
              <w:rPr>
                <w:rFonts w:hint="eastAsia" w:ascii="仿宋" w:hAnsi="仿宋" w:eastAsia="仿宋" w:cs="仿宋"/>
                <w:sz w:val="28"/>
                <w:szCs w:val="28"/>
                <w:highlight w:val="none"/>
              </w:rPr>
            </w:pPr>
            <w:r>
              <w:rPr>
                <w:rFonts w:hint="eastAsia" w:ascii="仿宋" w:hAnsi="仿宋" w:eastAsia="仿宋" w:cs="仿宋"/>
                <w:sz w:val="28"/>
                <w:szCs w:val="28"/>
                <w:highlight w:val="none"/>
              </w:rPr>
              <w:t>装修改造运营方案</w:t>
            </w:r>
          </w:p>
        </w:tc>
        <w:tc>
          <w:tcPr>
            <w:tcW w:w="3507" w:type="pct"/>
            <w:noWrap w:val="0"/>
            <w:vAlign w:val="center"/>
          </w:tcPr>
          <w:p w14:paraId="46CBFA02">
            <w:pPr>
              <w:suppressAutoHyphens/>
              <w:adjustRightInd w:val="0"/>
              <w:snapToGrid w:val="0"/>
              <w:rPr>
                <w:rFonts w:hint="eastAsia" w:ascii="仿宋" w:hAnsi="仿宋" w:eastAsia="仿宋" w:cs="仿宋"/>
                <w:b/>
                <w:bCs/>
                <w:sz w:val="28"/>
                <w:szCs w:val="28"/>
                <w:highlight w:val="none"/>
              </w:rPr>
            </w:pPr>
            <w:r>
              <w:rPr>
                <w:rFonts w:hint="eastAsia" w:ascii="仿宋" w:hAnsi="仿宋" w:eastAsia="仿宋" w:cs="仿宋"/>
                <w:b/>
                <w:bCs/>
                <w:sz w:val="28"/>
                <w:szCs w:val="28"/>
                <w:highlight w:val="none"/>
              </w:rPr>
              <w:t>1.装修改造及业态规划方案（F1）</w:t>
            </w:r>
          </w:p>
          <w:p w14:paraId="53E2C579">
            <w:pPr>
              <w:suppressAutoHyphens/>
              <w:adjustRightInd w:val="0"/>
              <w:snapToGrid w:val="0"/>
              <w:rPr>
                <w:rFonts w:hint="eastAsia" w:ascii="仿宋" w:hAnsi="仿宋" w:eastAsia="仿宋" w:cs="仿宋"/>
                <w:sz w:val="28"/>
                <w:szCs w:val="28"/>
                <w:highlight w:val="none"/>
              </w:rPr>
            </w:pPr>
            <w:r>
              <w:rPr>
                <w:rFonts w:hint="eastAsia" w:ascii="仿宋" w:hAnsi="仿宋" w:eastAsia="仿宋" w:cs="仿宋"/>
                <w:sz w:val="28"/>
                <w:szCs w:val="28"/>
                <w:highlight w:val="none"/>
              </w:rPr>
              <w:t>意向方提供装修改造方案及业态规划方案，修改造方案内容包括但不限于平面布局、效果图设计等；业态规划方案内容应涵盖酒店业态及其余商业配套业态（如餐饮、会议、休闲娱乐等）的总体规划。</w:t>
            </w:r>
          </w:p>
          <w:p w14:paraId="26F060D2">
            <w:pPr>
              <w:adjustRightInd w:val="0"/>
              <w:snapToGrid w:val="0"/>
              <w:rPr>
                <w:rFonts w:hint="eastAsia" w:ascii="仿宋" w:hAnsi="仿宋" w:eastAsia="仿宋" w:cs="仿宋"/>
                <w:sz w:val="28"/>
                <w:szCs w:val="28"/>
                <w:highlight w:val="none"/>
              </w:rPr>
            </w:pPr>
            <w:r>
              <w:rPr>
                <w:rFonts w:hint="eastAsia" w:ascii="仿宋" w:hAnsi="仿宋" w:eastAsia="仿宋" w:cs="仿宋"/>
                <w:sz w:val="28"/>
                <w:szCs w:val="28"/>
                <w:highlight w:val="none"/>
              </w:rPr>
              <w:t>方案详尽、创新，设计美观且符合项目实际需求以及酒店品牌标准，功能分区合理，业态定位精准，酒店与其余商业业态布局科学、功能互补性强、品牌组合丰富且层次清晰，落位规划合理，得2＜F1≤5分；</w:t>
            </w:r>
          </w:p>
          <w:p w14:paraId="4534B3D1">
            <w:pPr>
              <w:adjustRightInd w:val="0"/>
              <w:snapToGrid w:val="0"/>
              <w:rPr>
                <w:rFonts w:hint="eastAsia" w:ascii="仿宋" w:hAnsi="仿宋" w:eastAsia="仿宋" w:cs="仿宋"/>
                <w:sz w:val="28"/>
                <w:szCs w:val="28"/>
                <w:highlight w:val="none"/>
              </w:rPr>
            </w:pPr>
            <w:r>
              <w:rPr>
                <w:rFonts w:hint="eastAsia" w:ascii="仿宋" w:hAnsi="仿宋" w:eastAsia="仿宋" w:cs="仿宋"/>
                <w:sz w:val="28"/>
                <w:szCs w:val="28"/>
                <w:highlight w:val="none"/>
              </w:rPr>
              <w:t>仅提供基础平面图或简易示意图，仅对酒店及商业业态进行基础性描述，品牌组合与落位规划较为简单，得0＜F1≤2分；</w:t>
            </w:r>
          </w:p>
          <w:p w14:paraId="2CEAB030">
            <w:pPr>
              <w:adjustRightInd w:val="0"/>
              <w:snapToGrid w:val="0"/>
              <w:rPr>
                <w:rFonts w:hint="eastAsia" w:ascii="仿宋" w:hAnsi="仿宋" w:eastAsia="仿宋" w:cs="仿宋"/>
                <w:sz w:val="28"/>
                <w:szCs w:val="28"/>
                <w:highlight w:val="none"/>
              </w:rPr>
            </w:pPr>
            <w:r>
              <w:rPr>
                <w:rFonts w:hint="eastAsia" w:ascii="仿宋" w:hAnsi="仿宋" w:eastAsia="仿宋" w:cs="仿宋"/>
                <w:sz w:val="28"/>
                <w:szCs w:val="28"/>
                <w:highlight w:val="none"/>
              </w:rPr>
              <w:t>未提供或方案与项目实际明显偏离，得0分。</w:t>
            </w:r>
          </w:p>
          <w:p w14:paraId="6A873494">
            <w:pPr>
              <w:suppressAutoHyphens/>
              <w:adjustRightInd w:val="0"/>
              <w:snapToGrid w:val="0"/>
              <w:rPr>
                <w:rFonts w:hint="eastAsia" w:ascii="仿宋" w:hAnsi="仿宋" w:eastAsia="仿宋" w:cs="仿宋"/>
                <w:b/>
                <w:bCs/>
                <w:sz w:val="28"/>
                <w:szCs w:val="28"/>
                <w:highlight w:val="none"/>
              </w:rPr>
            </w:pPr>
            <w:r>
              <w:rPr>
                <w:rFonts w:hint="eastAsia" w:ascii="仿宋" w:hAnsi="仿宋" w:eastAsia="仿宋" w:cs="仿宋"/>
                <w:b/>
                <w:bCs/>
                <w:sz w:val="28"/>
                <w:szCs w:val="28"/>
                <w:highlight w:val="none"/>
              </w:rPr>
              <w:t>2.运营管理方案（F2）</w:t>
            </w:r>
          </w:p>
          <w:p w14:paraId="63F5341F">
            <w:pPr>
              <w:adjustRightInd w:val="0"/>
              <w:snapToGrid w:val="0"/>
              <w:rPr>
                <w:rFonts w:hint="eastAsia" w:ascii="仿宋" w:hAnsi="仿宋" w:eastAsia="仿宋" w:cs="仿宋"/>
                <w:sz w:val="28"/>
                <w:szCs w:val="28"/>
                <w:highlight w:val="none"/>
              </w:rPr>
            </w:pPr>
            <w:r>
              <w:rPr>
                <w:rFonts w:hint="eastAsia" w:ascii="仿宋" w:hAnsi="仿宋" w:eastAsia="仿宋" w:cs="仿宋"/>
                <w:sz w:val="28"/>
                <w:szCs w:val="28"/>
                <w:highlight w:val="none"/>
              </w:rPr>
              <w:t>意向方提供运营管理方案，内容包括但不限于投资预算、运营管理体系等。</w:t>
            </w:r>
          </w:p>
          <w:p w14:paraId="4BDD53E4">
            <w:pPr>
              <w:adjustRightInd w:val="0"/>
              <w:snapToGrid w:val="0"/>
              <w:rPr>
                <w:rFonts w:hint="eastAsia" w:ascii="仿宋" w:hAnsi="仿宋" w:eastAsia="仿宋" w:cs="仿宋"/>
                <w:sz w:val="28"/>
                <w:szCs w:val="28"/>
                <w:highlight w:val="none"/>
              </w:rPr>
            </w:pPr>
            <w:r>
              <w:rPr>
                <w:rFonts w:hint="eastAsia" w:ascii="仿宋" w:hAnsi="仿宋" w:eastAsia="仿宋" w:cs="仿宋"/>
                <w:sz w:val="28"/>
                <w:szCs w:val="28"/>
                <w:highlight w:val="none"/>
              </w:rPr>
              <w:t>运营方案与品牌定位深度绑定，投资预算编制规范，管理体系完整，得2＜F2≤5分；</w:t>
            </w:r>
          </w:p>
          <w:p w14:paraId="7B2AE05B">
            <w:pPr>
              <w:adjustRightInd w:val="0"/>
              <w:snapToGrid w:val="0"/>
              <w:rPr>
                <w:rFonts w:hint="eastAsia" w:ascii="仿宋" w:hAnsi="仿宋" w:eastAsia="仿宋" w:cs="仿宋"/>
                <w:sz w:val="28"/>
                <w:szCs w:val="28"/>
                <w:highlight w:val="none"/>
              </w:rPr>
            </w:pPr>
            <w:r>
              <w:rPr>
                <w:rFonts w:hint="eastAsia" w:ascii="仿宋" w:hAnsi="仿宋" w:eastAsia="仿宋" w:cs="仿宋"/>
                <w:sz w:val="28"/>
                <w:szCs w:val="28"/>
                <w:highlight w:val="none"/>
              </w:rPr>
              <w:t>仅描述基础运营思路，投资估算框架完整但缺乏细化条目，管理方案仅框架性描述，得0＜F2≤2分；</w:t>
            </w:r>
          </w:p>
          <w:p w14:paraId="10E4A998">
            <w:pPr>
              <w:adjustRightInd w:val="0"/>
              <w:snapToGrid w:val="0"/>
              <w:rPr>
                <w:rFonts w:hint="eastAsia" w:ascii="仿宋" w:hAnsi="仿宋" w:eastAsia="仿宋" w:cs="仿宋"/>
                <w:sz w:val="28"/>
                <w:szCs w:val="28"/>
                <w:highlight w:val="none"/>
              </w:rPr>
            </w:pPr>
            <w:r>
              <w:rPr>
                <w:rFonts w:hint="eastAsia" w:ascii="仿宋" w:hAnsi="仿宋" w:eastAsia="仿宋" w:cs="仿宋"/>
                <w:sz w:val="28"/>
                <w:szCs w:val="28"/>
                <w:highlight w:val="none"/>
              </w:rPr>
              <w:t>未提供或方案与项目实际明显偏离，得0分。</w:t>
            </w:r>
          </w:p>
          <w:p w14:paraId="5D4EB658">
            <w:pPr>
              <w:rPr>
                <w:rFonts w:hint="eastAsia" w:ascii="仿宋" w:hAnsi="仿宋" w:eastAsia="仿宋" w:cs="仿宋"/>
                <w:b/>
                <w:bCs/>
                <w:sz w:val="28"/>
                <w:szCs w:val="28"/>
                <w:highlight w:val="none"/>
              </w:rPr>
            </w:pPr>
            <w:r>
              <w:rPr>
                <w:rFonts w:hint="eastAsia" w:ascii="仿宋" w:hAnsi="仿宋" w:eastAsia="仿宋" w:cs="仿宋"/>
                <w:b/>
                <w:bCs/>
                <w:sz w:val="28"/>
                <w:szCs w:val="28"/>
                <w:highlight w:val="none"/>
              </w:rPr>
              <w:t>注：</w:t>
            </w:r>
          </w:p>
          <w:p w14:paraId="2CE018B5">
            <w:pPr>
              <w:adjustRightInd w:val="0"/>
              <w:snapToGrid w:val="0"/>
              <w:rPr>
                <w:rFonts w:hint="eastAsia" w:ascii="仿宋" w:hAnsi="仿宋" w:eastAsia="仿宋" w:cs="仿宋"/>
                <w:b/>
                <w:bCs/>
                <w:sz w:val="28"/>
                <w:szCs w:val="28"/>
                <w:highlight w:val="none"/>
              </w:rPr>
            </w:pPr>
            <w:r>
              <w:rPr>
                <w:rFonts w:hint="eastAsia" w:ascii="仿宋" w:hAnsi="仿宋" w:eastAsia="仿宋" w:cs="仿宋"/>
                <w:b/>
                <w:bCs/>
                <w:sz w:val="28"/>
                <w:szCs w:val="28"/>
                <w:highlight w:val="none"/>
              </w:rPr>
              <w:t>1.评审时意向方提交的装修改造方案将作为装修审批、竣工验收的重要依据文件；若施工中需优化调整，须提前向招商单位提交书面变更申请（附对比说明及图纸），经审核确认符合安全规范且未降低原标准后方可实施。擅自降低原标准或违规改动，招商单位有权要求停工整改或解除合同；</w:t>
            </w:r>
          </w:p>
          <w:p w14:paraId="57599965">
            <w:pPr>
              <w:adjustRightInd w:val="0"/>
              <w:snapToGrid w:val="0"/>
              <w:rPr>
                <w:rFonts w:hint="eastAsia" w:ascii="仿宋" w:hAnsi="仿宋" w:eastAsia="仿宋" w:cs="仿宋"/>
                <w:b/>
                <w:bCs/>
                <w:sz w:val="28"/>
                <w:szCs w:val="28"/>
                <w:highlight w:val="none"/>
              </w:rPr>
            </w:pPr>
            <w:r>
              <w:rPr>
                <w:rFonts w:hint="eastAsia" w:ascii="仿宋" w:hAnsi="仿宋" w:eastAsia="仿宋" w:cs="仿宋"/>
                <w:b/>
                <w:bCs/>
                <w:sz w:val="28"/>
                <w:szCs w:val="28"/>
                <w:highlight w:val="none"/>
              </w:rPr>
              <w:t>2.对擅自拆改、变动或损坏房屋主体结构及违规拆除等重大偏差行为，招商单位有权单方解除合同、收回房屋，并通知成交人限期腾空搬离，对成交人所实施的装饰装修改造部分不予任何形式的补偿或赔偿。</w:t>
            </w:r>
          </w:p>
          <w:p w14:paraId="6D0E405E">
            <w:pPr>
              <w:adjustRightInd w:val="0"/>
              <w:snapToGrid w:val="0"/>
              <w:rPr>
                <w:rFonts w:hint="eastAsia" w:ascii="仿宋" w:hAnsi="仿宋" w:eastAsia="仿宋" w:cs="仿宋"/>
                <w:sz w:val="28"/>
                <w:szCs w:val="28"/>
                <w:highlight w:val="none"/>
              </w:rPr>
            </w:pPr>
            <w:r>
              <w:rPr>
                <w:rFonts w:hint="eastAsia" w:ascii="仿宋" w:hAnsi="仿宋" w:eastAsia="仿宋" w:cs="仿宋"/>
                <w:b/>
                <w:bCs/>
                <w:sz w:val="28"/>
                <w:szCs w:val="28"/>
                <w:highlight w:val="none"/>
              </w:rPr>
              <w:t>3.意向方制定装修改造运营方案过程中可能产生的费用需自行承担。同时，这些费用并不代表成交保证，成交结果仍取决于招商评审的综合评价。</w:t>
            </w:r>
          </w:p>
        </w:tc>
        <w:tc>
          <w:tcPr>
            <w:tcW w:w="497" w:type="pct"/>
            <w:noWrap w:val="0"/>
            <w:vAlign w:val="center"/>
          </w:tcPr>
          <w:p w14:paraId="26925487">
            <w:pPr>
              <w:suppressAutoHyphens/>
              <w:adjustRightInd w:val="0"/>
              <w:snapToGrid w:val="0"/>
              <w:rPr>
                <w:rFonts w:hint="eastAsia" w:ascii="仿宋" w:hAnsi="仿宋" w:eastAsia="仿宋" w:cs="仿宋"/>
                <w:color w:val="FF0000"/>
                <w:sz w:val="28"/>
                <w:szCs w:val="28"/>
                <w:highlight w:val="none"/>
              </w:rPr>
            </w:pPr>
            <w:r>
              <w:rPr>
                <w:rFonts w:hint="eastAsia" w:ascii="仿宋" w:hAnsi="仿宋" w:eastAsia="仿宋" w:cs="仿宋"/>
                <w:sz w:val="28"/>
                <w:szCs w:val="28"/>
                <w:highlight w:val="none"/>
              </w:rPr>
              <w:t>0-10分</w:t>
            </w:r>
          </w:p>
        </w:tc>
      </w:tr>
      <w:tr w14:paraId="27CC88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0" w:hRule="atLeast"/>
          <w:jc w:val="center"/>
        </w:trPr>
        <w:tc>
          <w:tcPr>
            <w:tcW w:w="342" w:type="pct"/>
            <w:noWrap w:val="0"/>
            <w:vAlign w:val="center"/>
          </w:tcPr>
          <w:p w14:paraId="50BAC1BF">
            <w:pPr>
              <w:jc w:val="center"/>
              <w:rPr>
                <w:rFonts w:hint="eastAsia" w:ascii="仿宋" w:hAnsi="仿宋" w:eastAsia="仿宋" w:cs="仿宋"/>
                <w:color w:val="FF0000"/>
                <w:sz w:val="28"/>
                <w:szCs w:val="28"/>
                <w:highlight w:val="none"/>
              </w:rPr>
            </w:pPr>
          </w:p>
        </w:tc>
        <w:tc>
          <w:tcPr>
            <w:tcW w:w="653" w:type="pct"/>
            <w:noWrap w:val="0"/>
            <w:vAlign w:val="center"/>
          </w:tcPr>
          <w:p w14:paraId="5C0F9796">
            <w:pPr>
              <w:jc w:val="center"/>
              <w:rPr>
                <w:rFonts w:hint="eastAsia" w:ascii="仿宋" w:hAnsi="仿宋" w:eastAsia="仿宋" w:cs="仿宋"/>
                <w:sz w:val="28"/>
                <w:szCs w:val="28"/>
                <w:highlight w:val="none"/>
              </w:rPr>
            </w:pPr>
            <w:r>
              <w:rPr>
                <w:rFonts w:hint="eastAsia" w:ascii="仿宋" w:hAnsi="仿宋" w:eastAsia="仿宋" w:cs="仿宋"/>
                <w:sz w:val="28"/>
                <w:szCs w:val="28"/>
                <w:highlight w:val="none"/>
              </w:rPr>
              <w:t>合计</w:t>
            </w:r>
          </w:p>
        </w:tc>
        <w:tc>
          <w:tcPr>
            <w:tcW w:w="3507" w:type="pct"/>
            <w:noWrap w:val="0"/>
            <w:vAlign w:val="center"/>
          </w:tcPr>
          <w:p w14:paraId="29E50397">
            <w:pPr>
              <w:jc w:val="center"/>
              <w:rPr>
                <w:rFonts w:hint="eastAsia" w:ascii="仿宋" w:hAnsi="仿宋" w:eastAsia="仿宋" w:cs="仿宋"/>
                <w:sz w:val="28"/>
                <w:szCs w:val="28"/>
                <w:highlight w:val="none"/>
              </w:rPr>
            </w:pPr>
          </w:p>
        </w:tc>
        <w:tc>
          <w:tcPr>
            <w:tcW w:w="497" w:type="pct"/>
            <w:noWrap w:val="0"/>
            <w:vAlign w:val="center"/>
          </w:tcPr>
          <w:p w14:paraId="40DD8468">
            <w:pPr>
              <w:jc w:val="center"/>
              <w:rPr>
                <w:rFonts w:hint="eastAsia" w:ascii="仿宋" w:hAnsi="仿宋" w:eastAsia="仿宋" w:cs="仿宋"/>
                <w:color w:val="FF0000"/>
                <w:sz w:val="28"/>
                <w:szCs w:val="28"/>
                <w:highlight w:val="none"/>
              </w:rPr>
            </w:pPr>
            <w:r>
              <w:rPr>
                <w:rFonts w:hint="eastAsia" w:ascii="仿宋" w:hAnsi="仿宋" w:eastAsia="仿宋" w:cs="仿宋"/>
                <w:sz w:val="28"/>
                <w:szCs w:val="28"/>
                <w:highlight w:val="none"/>
              </w:rPr>
              <w:t>0-40分</w:t>
            </w:r>
          </w:p>
        </w:tc>
      </w:tr>
    </w:tbl>
    <w:p w14:paraId="094B9084">
      <w:pPr>
        <w:adjustRightInd w:val="0"/>
        <w:snapToGrid w:val="0"/>
        <w:spacing w:line="360" w:lineRule="auto"/>
        <w:ind w:right="-10" w:firstLine="562" w:firstLineChars="200"/>
        <w:rPr>
          <w:rFonts w:hint="eastAsia" w:ascii="仿宋" w:hAnsi="仿宋" w:eastAsia="仿宋" w:cs="仿宋"/>
          <w:b/>
          <w:sz w:val="28"/>
          <w:szCs w:val="28"/>
          <w:highlight w:val="none"/>
        </w:rPr>
      </w:pPr>
      <w:r>
        <w:rPr>
          <w:rFonts w:hint="eastAsia" w:ascii="仿宋" w:hAnsi="仿宋" w:eastAsia="仿宋" w:cs="仿宋"/>
          <w:b/>
          <w:sz w:val="28"/>
          <w:szCs w:val="28"/>
          <w:highlight w:val="none"/>
        </w:rPr>
        <w:t>报价分评分标准</w:t>
      </w:r>
    </w:p>
    <w:tbl>
      <w:tblPr>
        <w:tblStyle w:val="3"/>
        <w:tblW w:w="493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13"/>
        <w:gridCol w:w="1002"/>
        <w:gridCol w:w="5972"/>
        <w:gridCol w:w="916"/>
      </w:tblGrid>
      <w:tr w14:paraId="3A98B5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6" w:hRule="atLeast"/>
          <w:jc w:val="center"/>
        </w:trPr>
        <w:tc>
          <w:tcPr>
            <w:tcW w:w="305" w:type="pct"/>
            <w:noWrap w:val="0"/>
            <w:vAlign w:val="center"/>
          </w:tcPr>
          <w:p w14:paraId="33A7A716">
            <w:pPr>
              <w:spacing w:line="440" w:lineRule="exact"/>
              <w:rPr>
                <w:rFonts w:hint="eastAsia" w:ascii="仿宋" w:hAnsi="仿宋" w:eastAsia="仿宋" w:cs="仿宋"/>
                <w:b/>
                <w:sz w:val="28"/>
                <w:szCs w:val="28"/>
                <w:highlight w:val="none"/>
              </w:rPr>
            </w:pPr>
          </w:p>
        </w:tc>
        <w:tc>
          <w:tcPr>
            <w:tcW w:w="1002" w:type="dxa"/>
            <w:noWrap w:val="0"/>
            <w:vAlign w:val="center"/>
          </w:tcPr>
          <w:p w14:paraId="26D4CFF5">
            <w:pPr>
              <w:adjustRightInd w:val="0"/>
              <w:snapToGrid w:val="0"/>
              <w:jc w:val="center"/>
              <w:rPr>
                <w:rFonts w:hint="eastAsia" w:ascii="仿宋" w:hAnsi="仿宋" w:eastAsia="仿宋" w:cs="仿宋"/>
                <w:sz w:val="28"/>
                <w:szCs w:val="28"/>
                <w:highlight w:val="none"/>
              </w:rPr>
            </w:pPr>
            <w:r>
              <w:rPr>
                <w:rFonts w:hint="eastAsia" w:ascii="仿宋" w:hAnsi="仿宋" w:eastAsia="仿宋" w:cs="仿宋"/>
                <w:b/>
                <w:sz w:val="28"/>
                <w:szCs w:val="28"/>
                <w:highlight w:val="none"/>
              </w:rPr>
              <w:t>指标</w:t>
            </w:r>
          </w:p>
        </w:tc>
        <w:tc>
          <w:tcPr>
            <w:tcW w:w="5972" w:type="dxa"/>
            <w:noWrap w:val="0"/>
            <w:vAlign w:val="center"/>
          </w:tcPr>
          <w:p w14:paraId="770D4CF4">
            <w:pPr>
              <w:adjustRightInd w:val="0"/>
              <w:snapToGrid w:val="0"/>
              <w:ind w:firstLine="562" w:firstLineChars="200"/>
              <w:jc w:val="center"/>
              <w:rPr>
                <w:rFonts w:hint="eastAsia" w:ascii="仿宋" w:hAnsi="仿宋" w:eastAsia="仿宋" w:cs="仿宋"/>
                <w:sz w:val="28"/>
                <w:szCs w:val="28"/>
                <w:highlight w:val="none"/>
              </w:rPr>
            </w:pPr>
            <w:r>
              <w:rPr>
                <w:rFonts w:hint="eastAsia" w:ascii="仿宋" w:hAnsi="仿宋" w:eastAsia="仿宋" w:cs="仿宋"/>
                <w:b/>
                <w:sz w:val="28"/>
                <w:szCs w:val="28"/>
                <w:highlight w:val="none"/>
              </w:rPr>
              <w:t>指标描述</w:t>
            </w:r>
          </w:p>
        </w:tc>
        <w:tc>
          <w:tcPr>
            <w:tcW w:w="916" w:type="dxa"/>
            <w:noWrap w:val="0"/>
            <w:vAlign w:val="center"/>
          </w:tcPr>
          <w:p w14:paraId="4E6D860E">
            <w:pPr>
              <w:adjustRightInd w:val="0"/>
              <w:snapToGrid w:val="0"/>
              <w:jc w:val="center"/>
              <w:rPr>
                <w:rFonts w:hint="eastAsia" w:ascii="仿宋" w:hAnsi="仿宋" w:eastAsia="仿宋" w:cs="仿宋"/>
                <w:bCs/>
                <w:kern w:val="0"/>
                <w:sz w:val="28"/>
                <w:szCs w:val="28"/>
                <w:highlight w:val="none"/>
              </w:rPr>
            </w:pPr>
            <w:r>
              <w:rPr>
                <w:rFonts w:hint="eastAsia" w:ascii="仿宋" w:hAnsi="仿宋" w:eastAsia="仿宋" w:cs="仿宋"/>
                <w:b/>
                <w:sz w:val="28"/>
                <w:szCs w:val="28"/>
                <w:highlight w:val="none"/>
              </w:rPr>
              <w:t>分值范围</w:t>
            </w:r>
          </w:p>
        </w:tc>
      </w:tr>
      <w:tr w14:paraId="69BB6F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8" w:hRule="atLeast"/>
          <w:jc w:val="center"/>
        </w:trPr>
        <w:tc>
          <w:tcPr>
            <w:tcW w:w="305" w:type="pct"/>
            <w:noWrap w:val="0"/>
            <w:vAlign w:val="center"/>
          </w:tcPr>
          <w:p w14:paraId="5125CDF4">
            <w:pPr>
              <w:spacing w:line="440" w:lineRule="exact"/>
              <w:rPr>
                <w:rFonts w:hint="eastAsia" w:ascii="仿宋" w:hAnsi="仿宋" w:eastAsia="仿宋" w:cs="仿宋"/>
                <w:sz w:val="28"/>
                <w:szCs w:val="28"/>
                <w:highlight w:val="none"/>
              </w:rPr>
            </w:pPr>
            <w:r>
              <w:rPr>
                <w:rFonts w:hint="eastAsia" w:ascii="仿宋" w:hAnsi="仿宋" w:eastAsia="仿宋" w:cs="仿宋"/>
                <w:b/>
                <w:sz w:val="28"/>
                <w:szCs w:val="28"/>
                <w:highlight w:val="none"/>
              </w:rPr>
              <w:t>报价评审</w:t>
            </w:r>
          </w:p>
        </w:tc>
        <w:tc>
          <w:tcPr>
            <w:tcW w:w="596" w:type="pct"/>
            <w:noWrap w:val="0"/>
            <w:vAlign w:val="center"/>
          </w:tcPr>
          <w:p w14:paraId="3AE25F45">
            <w:pPr>
              <w:spacing w:line="0" w:lineRule="atLeast"/>
              <w:jc w:val="center"/>
              <w:rPr>
                <w:rFonts w:hint="eastAsia" w:ascii="仿宋" w:hAnsi="仿宋" w:eastAsia="仿宋" w:cs="仿宋"/>
                <w:sz w:val="28"/>
                <w:szCs w:val="28"/>
                <w:highlight w:val="none"/>
              </w:rPr>
            </w:pPr>
            <w:r>
              <w:rPr>
                <w:rFonts w:hint="eastAsia" w:ascii="仿宋" w:hAnsi="仿宋" w:eastAsia="仿宋" w:cs="仿宋"/>
                <w:sz w:val="28"/>
                <w:szCs w:val="28"/>
                <w:highlight w:val="none"/>
              </w:rPr>
              <w:t>报价得分</w:t>
            </w:r>
          </w:p>
        </w:tc>
        <w:tc>
          <w:tcPr>
            <w:tcW w:w="3552" w:type="pct"/>
            <w:noWrap w:val="0"/>
            <w:vAlign w:val="center"/>
          </w:tcPr>
          <w:p w14:paraId="26147FB7">
            <w:pPr>
              <w:spacing w:line="0" w:lineRule="atLeast"/>
              <w:rPr>
                <w:rFonts w:hint="eastAsia" w:ascii="仿宋" w:hAnsi="仿宋" w:eastAsia="仿宋" w:cs="仿宋"/>
                <w:sz w:val="28"/>
                <w:szCs w:val="28"/>
                <w:highlight w:val="none"/>
              </w:rPr>
            </w:pPr>
            <w:r>
              <w:rPr>
                <w:rFonts w:hint="eastAsia" w:ascii="仿宋" w:hAnsi="仿宋" w:eastAsia="仿宋" w:cs="仿宋"/>
                <w:sz w:val="28"/>
                <w:szCs w:val="28"/>
                <w:highlight w:val="none"/>
              </w:rPr>
              <w:t>1.确定评标价</w:t>
            </w:r>
          </w:p>
          <w:p w14:paraId="2BC8DCA9">
            <w:pPr>
              <w:spacing w:line="0" w:lineRule="atLeast"/>
              <w:rPr>
                <w:rFonts w:hint="eastAsia" w:ascii="仿宋" w:hAnsi="仿宋" w:eastAsia="仿宋" w:cs="仿宋"/>
                <w:sz w:val="28"/>
                <w:szCs w:val="28"/>
                <w:highlight w:val="none"/>
              </w:rPr>
            </w:pPr>
            <w:r>
              <w:rPr>
                <w:rFonts w:hint="eastAsia" w:ascii="仿宋" w:hAnsi="仿宋" w:eastAsia="仿宋" w:cs="仿宋"/>
                <w:sz w:val="28"/>
                <w:szCs w:val="28"/>
                <w:highlight w:val="none"/>
              </w:rPr>
              <w:t>评标价=最终报价</w:t>
            </w:r>
          </w:p>
          <w:p w14:paraId="6A6B34F9">
            <w:pPr>
              <w:spacing w:line="0" w:lineRule="atLeast"/>
              <w:rPr>
                <w:rFonts w:hint="eastAsia" w:ascii="仿宋" w:hAnsi="仿宋" w:eastAsia="仿宋" w:cs="仿宋"/>
                <w:sz w:val="28"/>
                <w:szCs w:val="28"/>
                <w:highlight w:val="none"/>
              </w:rPr>
            </w:pPr>
            <w:r>
              <w:rPr>
                <w:rFonts w:hint="eastAsia" w:ascii="仿宋" w:hAnsi="仿宋" w:eastAsia="仿宋" w:cs="仿宋"/>
                <w:sz w:val="28"/>
                <w:szCs w:val="28"/>
                <w:highlight w:val="none"/>
              </w:rPr>
              <w:t>2.确定评标基准价</w:t>
            </w:r>
          </w:p>
          <w:p w14:paraId="7240B83E">
            <w:pPr>
              <w:spacing w:line="0" w:lineRule="atLeast"/>
              <w:rPr>
                <w:rFonts w:hint="eastAsia" w:ascii="仿宋" w:hAnsi="仿宋" w:eastAsia="仿宋" w:cs="仿宋"/>
                <w:sz w:val="28"/>
                <w:szCs w:val="28"/>
                <w:highlight w:val="none"/>
              </w:rPr>
            </w:pPr>
            <w:r>
              <w:rPr>
                <w:rFonts w:hint="eastAsia" w:ascii="仿宋" w:hAnsi="仿宋" w:eastAsia="仿宋" w:cs="仿宋"/>
                <w:sz w:val="28"/>
                <w:szCs w:val="28"/>
                <w:highlight w:val="none"/>
              </w:rPr>
              <w:t>以通过资格要求的评审材料的最高评标价作为评标基准价</w:t>
            </w:r>
          </w:p>
          <w:p w14:paraId="4896C1C2">
            <w:pPr>
              <w:spacing w:line="0" w:lineRule="atLeast"/>
              <w:rPr>
                <w:rFonts w:hint="eastAsia" w:ascii="仿宋" w:hAnsi="仿宋" w:eastAsia="仿宋" w:cs="仿宋"/>
                <w:sz w:val="28"/>
                <w:szCs w:val="28"/>
                <w:highlight w:val="none"/>
              </w:rPr>
            </w:pPr>
            <w:r>
              <w:rPr>
                <w:rFonts w:hint="eastAsia" w:ascii="仿宋" w:hAnsi="仿宋" w:eastAsia="仿宋" w:cs="仿宋"/>
                <w:sz w:val="28"/>
                <w:szCs w:val="28"/>
                <w:highlight w:val="none"/>
              </w:rPr>
              <w:t>3.评标价得分计算</w:t>
            </w:r>
          </w:p>
          <w:p w14:paraId="2AD7134D">
            <w:pPr>
              <w:spacing w:line="0" w:lineRule="atLeast"/>
              <w:rPr>
                <w:rFonts w:hint="eastAsia" w:ascii="仿宋" w:hAnsi="仿宋" w:eastAsia="仿宋" w:cs="仿宋"/>
                <w:sz w:val="28"/>
                <w:szCs w:val="28"/>
                <w:highlight w:val="none"/>
              </w:rPr>
            </w:pPr>
            <w:r>
              <w:rPr>
                <w:rFonts w:hint="eastAsia" w:ascii="仿宋" w:hAnsi="仿宋" w:eastAsia="仿宋" w:cs="仿宋"/>
                <w:sz w:val="28"/>
                <w:szCs w:val="28"/>
                <w:highlight w:val="none"/>
              </w:rPr>
              <w:t>评标价得分按照下列公式计算：</w:t>
            </w:r>
          </w:p>
          <w:p w14:paraId="1A75F25A">
            <w:pPr>
              <w:spacing w:line="0" w:lineRule="atLeast"/>
              <w:rPr>
                <w:rFonts w:hint="eastAsia" w:ascii="仿宋" w:hAnsi="仿宋" w:eastAsia="仿宋" w:cs="仿宋"/>
                <w:sz w:val="28"/>
                <w:szCs w:val="28"/>
                <w:highlight w:val="none"/>
              </w:rPr>
            </w:pPr>
            <w:r>
              <w:rPr>
                <w:rFonts w:hint="eastAsia" w:ascii="仿宋" w:hAnsi="仿宋" w:eastAsia="仿宋" w:cs="仿宋"/>
                <w:sz w:val="28"/>
                <w:szCs w:val="28"/>
                <w:highlight w:val="none"/>
              </w:rPr>
              <w:t>评标价得分＝（评标价/评标基准价）*60。</w:t>
            </w:r>
          </w:p>
          <w:p w14:paraId="31232B5A">
            <w:pPr>
              <w:spacing w:line="0" w:lineRule="atLeast"/>
              <w:rPr>
                <w:rFonts w:hint="eastAsia" w:ascii="仿宋" w:hAnsi="仿宋" w:eastAsia="仿宋" w:cs="仿宋"/>
                <w:sz w:val="28"/>
                <w:szCs w:val="28"/>
                <w:highlight w:val="none"/>
              </w:rPr>
            </w:pPr>
            <w:r>
              <w:rPr>
                <w:rFonts w:hint="eastAsia" w:ascii="仿宋" w:hAnsi="仿宋" w:eastAsia="仿宋" w:cs="仿宋"/>
                <w:sz w:val="28"/>
                <w:szCs w:val="28"/>
                <w:highlight w:val="none"/>
              </w:rPr>
              <w:t>报价得分保留小数点后两位，小数点后第三位“四舍五入”，即为*.**。</w:t>
            </w:r>
          </w:p>
        </w:tc>
        <w:tc>
          <w:tcPr>
            <w:tcW w:w="545" w:type="pct"/>
            <w:noWrap w:val="0"/>
            <w:vAlign w:val="center"/>
          </w:tcPr>
          <w:p w14:paraId="3AC5EB16">
            <w:pPr>
              <w:widowControl/>
              <w:spacing w:line="440" w:lineRule="exact"/>
              <w:jc w:val="center"/>
              <w:rPr>
                <w:rFonts w:hint="eastAsia" w:ascii="仿宋" w:hAnsi="仿宋" w:eastAsia="仿宋" w:cs="仿宋"/>
                <w:b/>
                <w:kern w:val="0"/>
                <w:sz w:val="28"/>
                <w:szCs w:val="28"/>
                <w:highlight w:val="none"/>
              </w:rPr>
            </w:pPr>
            <w:r>
              <w:rPr>
                <w:rFonts w:hint="eastAsia" w:ascii="仿宋" w:hAnsi="仿宋" w:eastAsia="仿宋" w:cs="仿宋"/>
                <w:bCs/>
                <w:kern w:val="0"/>
                <w:sz w:val="28"/>
                <w:szCs w:val="28"/>
                <w:highlight w:val="none"/>
              </w:rPr>
              <w:t>0-60分</w:t>
            </w:r>
          </w:p>
        </w:tc>
      </w:tr>
    </w:tbl>
    <w:p w14:paraId="46AFFD0F">
      <w:pPr>
        <w:adjustRightInd w:val="0"/>
        <w:snapToGrid w:val="0"/>
        <w:ind w:right="-10"/>
        <w:rPr>
          <w:rFonts w:hint="eastAsia" w:ascii="仿宋" w:hAnsi="仿宋" w:eastAsia="仿宋" w:cs="仿宋"/>
          <w:b/>
          <w:sz w:val="28"/>
          <w:szCs w:val="28"/>
          <w:highlight w:val="none"/>
        </w:rPr>
      </w:pPr>
    </w:p>
    <w:p w14:paraId="75B514A2">
      <w:pPr>
        <w:rPr>
          <w:highlight w:val="none"/>
        </w:rPr>
      </w:pPr>
    </w:p>
    <w:p w14:paraId="3BF760E5">
      <w:pPr>
        <w:pStyle w:val="2"/>
        <w:ind w:firstLine="480"/>
        <w:rPr>
          <w:rFonts w:hint="eastAsia" w:ascii="微软雅黑" w:hAnsi="微软雅黑" w:eastAsia="微软雅黑" w:cs="微软雅黑"/>
          <w:b/>
          <w:bCs/>
          <w:sz w:val="24"/>
          <w:highlight w:val="none"/>
        </w:rPr>
      </w:pPr>
    </w:p>
    <w:p w14:paraId="7C8DF489">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44276B3"/>
    <w:multiLevelType w:val="singleLevel"/>
    <w:tmpl w:val="544276B3"/>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QyNzk2NzhkOTdjNjY4MjI1ZTQ0ZGMyMzI4MjA2MWEifQ=="/>
  </w:docVars>
  <w:rsids>
    <w:rsidRoot w:val="763A790F"/>
    <w:rsid w:val="606B7F1D"/>
    <w:rsid w:val="763A790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Indent"/>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1789</Words>
  <Characters>1904</Characters>
  <Lines>0</Lines>
  <Paragraphs>0</Paragraphs>
  <TotalTime>0</TotalTime>
  <ScaleCrop>false</ScaleCrop>
  <LinksUpToDate>false</LinksUpToDate>
  <CharactersWithSpaces>1904</CharactersWithSpaces>
  <Application>WPS Office_12.1.0.17827_F1E327BC-269C-435d-A152-05C5408002CA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2025-09-29T08:40:00Z</dcterms:created>
  <dc:creator>11</dc:creator>
  <cp:lastModifiedBy>王娟</cp:lastModifiedBy>
  <dcterms:modified xsi:type="dcterms:W3CDTF">2025-09-30T02:04:00Z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2052-12.1.0.17827</vt:lpwstr>
  </property>
  <property fmtid="{D5CDD505-2E9C-101B-9397-08002B2CF9AE}" pid="3" name="ICV">
    <vt:lpwstr>4C62A2D1B6454D0499E18EE098E0232A_11</vt:lpwstr>
  </property>
  <property fmtid="{D5CDD505-2E9C-101B-9397-08002B2CF9AE}" pid="4" name="KSOTemplateDocerSaveRecord">
    <vt:lpwstr>eyJoZGlkIjoiOTAwMDc1Mzc2ZmUyOTQzYjE2ZGU3MGIxZjJlNjEwZGMiLCJ1c2VySWQiOiIyNDkwMjQzMjkifQ==</vt:lpwstr>
  </property>
</Properties>
</file>