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66B01">
      <w:pPr>
        <w:jc w:val="left"/>
        <w:rPr>
          <w:rFonts w:hint="eastAsia"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>附件五：</w:t>
      </w:r>
    </w:p>
    <w:p w14:paraId="2F99402B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bookmarkStart w:id="1" w:name="_GoBack"/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栖熙里工程交付参考标准</w:t>
      </w:r>
    </w:p>
    <w:bookmarkEnd w:id="1"/>
    <w:p w14:paraId="0712DFF2">
      <w:pPr>
        <w:jc w:val="center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（最终以竣工验收实际为准）</w:t>
      </w:r>
    </w:p>
    <w:p w14:paraId="4E8DEBB5">
      <w:pPr>
        <w:pStyle w:val="8"/>
        <w:widowControl/>
        <w:snapToGrid w:val="0"/>
        <w:spacing w:before="206" w:beforeAutospacing="0" w:after="206" w:afterAutospacing="0" w:line="360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1.外立面及结构</w:t>
      </w:r>
    </w:p>
    <w:p w14:paraId="3DC8B27C">
      <w:pPr>
        <w:pStyle w:val="8"/>
        <w:widowControl/>
        <w:snapToGrid w:val="0"/>
        <w:spacing w:before="0" w:beforeAutospacing="0" w:after="0" w:afterAutospacing="0" w:line="360" w:lineRule="auto"/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外立面：</w:t>
      </w:r>
      <w:r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  <w:t> 本项目外立面采用全玻璃幕墙系统。</w:t>
      </w:r>
    </w:p>
    <w:p w14:paraId="7A46A31A">
      <w:pPr>
        <w:pStyle w:val="8"/>
        <w:widowControl/>
        <w:snapToGrid w:val="0"/>
        <w:spacing w:before="0" w:beforeAutospacing="0" w:after="0" w:afterAutospacing="0" w:line="360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地面：</w:t>
      </w:r>
      <w:r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  <w:t> 室内地面混凝土楼地面，平整度良好。</w:t>
      </w:r>
    </w:p>
    <w:p w14:paraId="274CA916">
      <w:pPr>
        <w:pStyle w:val="8"/>
        <w:widowControl/>
        <w:snapToGrid w:val="0"/>
        <w:spacing w:before="0" w:beforeAutospacing="0" w:after="0" w:afterAutospacing="0" w:line="360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天花：</w:t>
      </w:r>
      <w:r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  <w:t> 消防喷淋、烟感及公共区域照明完成。</w:t>
      </w:r>
    </w:p>
    <w:p w14:paraId="4F3B5A66">
      <w:pPr>
        <w:pStyle w:val="8"/>
        <w:widowControl/>
        <w:snapToGrid w:val="0"/>
        <w:spacing w:before="206" w:beforeAutospacing="0" w:after="206" w:afterAutospacing="0" w:line="360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2.电力系统</w:t>
      </w:r>
    </w:p>
    <w:p w14:paraId="0AA08CE9">
      <w:pPr>
        <w:pStyle w:val="8"/>
        <w:widowControl/>
        <w:snapToGrid w:val="0"/>
        <w:spacing w:before="0" w:beforeAutospacing="0" w:after="0" w:afterAutospacing="0" w:line="360" w:lineRule="auto"/>
        <w:rPr>
          <w:rFonts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配电箱：</w:t>
      </w:r>
      <w:r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  <w:t> 配备楼层动力照明箱（不含客房照明箱及各类功能设备动力箱如空调、制冷机房、泳池等）</w:t>
      </w:r>
    </w:p>
    <w:p w14:paraId="35AEF760">
      <w:pPr>
        <w:pStyle w:val="8"/>
        <w:widowControl/>
        <w:snapToGrid w:val="0"/>
        <w:spacing w:before="0" w:beforeAutospacing="0" w:after="0" w:afterAutospacing="0" w:line="360" w:lineRule="auto"/>
        <w:rPr>
          <w:rFonts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电量：</w:t>
      </w:r>
      <w:r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  <w:t> 供电方案批复容量主备用共为4100KVA。</w:t>
      </w:r>
    </w:p>
    <w:p w14:paraId="357D50FF">
      <w:pPr>
        <w:pStyle w:val="8"/>
        <w:widowControl/>
        <w:snapToGrid w:val="0"/>
        <w:spacing w:before="0" w:beforeAutospacing="0" w:after="0" w:afterAutospacing="0" w:line="360" w:lineRule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接口：</w:t>
      </w:r>
      <w:r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  <w:t> 分区域及功能房设置动力照明箱。</w:t>
      </w:r>
    </w:p>
    <w:p w14:paraId="15DFDC4B">
      <w:pPr>
        <w:pStyle w:val="8"/>
        <w:widowControl/>
        <w:snapToGrid w:val="0"/>
        <w:spacing w:before="206" w:beforeAutospacing="0" w:after="206" w:afterAutospacing="0" w:line="360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3.给排水系统</w:t>
      </w:r>
    </w:p>
    <w:p w14:paraId="626A7556">
      <w:pPr>
        <w:adjustRightInd w:val="0"/>
        <w:snapToGrid w:val="0"/>
        <w:spacing w:line="360" w:lineRule="auto"/>
        <w:jc w:val="left"/>
        <w:rPr>
          <w:rFonts w:hint="eastAsia"/>
          <w:highlight w:val="none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给水：</w:t>
      </w:r>
      <w:r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  <w:t> </w:t>
      </w:r>
      <w:bookmarkStart w:id="0" w:name="_Hlk144104308"/>
      <w:r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  <w:t>市政给水的水表后至楼层主干管道完成，支管至卫生间截止阀，含供水泵房</w:t>
      </w:r>
      <w:bookmarkEnd w:id="0"/>
      <w:r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  <w:t>。</w:t>
      </w:r>
    </w:p>
    <w:p w14:paraId="186521BD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color w:val="404040"/>
          <w:sz w:val="32"/>
          <w:szCs w:val="32"/>
          <w:highlight w:val="none"/>
          <w:shd w:val="clear" w:color="auto" w:fill="FFFFFF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排水：</w:t>
      </w:r>
      <w:r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  <w:t> 从室外水封井至单体内排水立管完成，支管至卫生间内0.5m。</w:t>
      </w:r>
    </w:p>
    <w:p w14:paraId="52D51653">
      <w:pPr>
        <w:pStyle w:val="8"/>
        <w:widowControl/>
        <w:snapToGrid w:val="0"/>
        <w:spacing w:before="0" w:beforeAutospacing="0" w:after="0" w:afterAutospacing="0" w:line="360" w:lineRule="auto"/>
        <w:rPr>
          <w:rFonts w:hint="eastAsia" w:ascii="仿宋" w:hAnsi="仿宋" w:eastAsia="仿宋" w:cs="仿宋"/>
          <w:color w:val="404040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404040"/>
          <w:sz w:val="32"/>
          <w:szCs w:val="32"/>
          <w:highlight w:val="none"/>
          <w:shd w:val="clear" w:color="auto" w:fill="FFFFFF"/>
        </w:rPr>
        <w:t>室外：</w:t>
      </w:r>
      <w:r>
        <w:rPr>
          <w:rFonts w:hint="eastAsia" w:ascii="仿宋" w:hAnsi="仿宋" w:eastAsia="仿宋" w:cs="仿宋"/>
          <w:color w:val="404040"/>
          <w:kern w:val="2"/>
          <w:sz w:val="32"/>
          <w:szCs w:val="32"/>
          <w:highlight w:val="none"/>
          <w:shd w:val="clear" w:color="auto" w:fill="FFFFFF"/>
        </w:rPr>
        <w:t>雨污水接驳至市政雨污水管网。</w:t>
      </w:r>
    </w:p>
    <w:p w14:paraId="12A46824">
      <w:pPr>
        <w:pStyle w:val="8"/>
        <w:widowControl/>
        <w:snapToGrid w:val="0"/>
        <w:spacing w:before="0" w:beforeAutospacing="0" w:after="0" w:afterAutospacing="0" w:line="360" w:lineRule="auto"/>
        <w:rPr>
          <w:rFonts w:ascii="仿宋" w:hAnsi="仿宋" w:eastAsia="仿宋" w:cs="仿宋"/>
          <w:color w:val="404040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404040"/>
          <w:kern w:val="2"/>
          <w:sz w:val="32"/>
          <w:szCs w:val="32"/>
          <w:highlight w:val="none"/>
          <w:shd w:val="clear" w:color="auto" w:fill="FFFFFF"/>
        </w:rPr>
        <w:t>热水：</w:t>
      </w:r>
      <w:r>
        <w:rPr>
          <w:rFonts w:hint="eastAsia" w:ascii="仿宋" w:hAnsi="仿宋" w:eastAsia="仿宋" w:cs="仿宋"/>
          <w:color w:val="404040"/>
          <w:kern w:val="2"/>
          <w:sz w:val="32"/>
          <w:szCs w:val="32"/>
          <w:highlight w:val="none"/>
          <w:shd w:val="clear" w:color="auto" w:fill="FFFFFF"/>
        </w:rPr>
        <w:t>屋面设有太阳能集热系统及热水水箱。</w:t>
      </w:r>
    </w:p>
    <w:p w14:paraId="7C595F4C">
      <w:pPr>
        <w:pStyle w:val="8"/>
        <w:widowControl/>
        <w:snapToGrid w:val="0"/>
        <w:spacing w:before="206" w:beforeAutospacing="0" w:after="206" w:afterAutospacing="0" w:line="360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4.燃气系统</w:t>
      </w:r>
    </w:p>
    <w:p w14:paraId="4E106CAC">
      <w:pPr>
        <w:pStyle w:val="8"/>
        <w:widowControl/>
        <w:snapToGrid w:val="0"/>
        <w:spacing w:before="0" w:beforeAutospacing="0" w:after="0" w:afterAutospacing="0" w:line="360" w:lineRule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  <w:t>本项目提供天然气，后续报装、开户改造费用由成交人承担，</w:t>
      </w:r>
      <w:r>
        <w:rPr>
          <w:rFonts w:hint="eastAsia" w:ascii="仿宋" w:hAnsi="仿宋" w:eastAsia="仿宋" w:cs="仿宋"/>
          <w:b/>
          <w:bCs/>
          <w:color w:val="404040"/>
          <w:sz w:val="32"/>
          <w:szCs w:val="32"/>
          <w:highlight w:val="none"/>
          <w:shd w:val="clear" w:color="auto" w:fill="FFFFFF"/>
        </w:rPr>
        <w:t>户名及产权方为招商单位。</w:t>
      </w:r>
    </w:p>
    <w:p w14:paraId="022A173B">
      <w:pPr>
        <w:pStyle w:val="8"/>
        <w:widowControl/>
        <w:snapToGrid w:val="0"/>
        <w:spacing w:before="206" w:beforeAutospacing="0" w:after="206" w:afterAutospacing="0" w:line="360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5.空调系统</w:t>
      </w:r>
    </w:p>
    <w:p w14:paraId="410AC309">
      <w:pPr>
        <w:pStyle w:val="8"/>
        <w:widowControl/>
        <w:snapToGrid w:val="0"/>
        <w:spacing w:before="0" w:beforeAutospacing="0" w:after="0" w:afterAutospacing="0" w:line="360" w:lineRule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  <w:t>本项目配备</w:t>
      </w:r>
      <w:r>
        <w:rPr>
          <w:rStyle w:val="12"/>
          <w:rFonts w:hint="eastAsia" w:ascii="仿宋" w:hAnsi="仿宋" w:eastAsia="仿宋" w:cs="仿宋"/>
          <w:b w:val="0"/>
          <w:color w:val="404040"/>
          <w:sz w:val="32"/>
          <w:szCs w:val="32"/>
          <w:highlight w:val="none"/>
          <w:shd w:val="clear" w:color="auto" w:fill="FFFFFF"/>
        </w:rPr>
        <w:t>中央空调系统（包含管道井主管，不含支管与末端设备</w:t>
      </w: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。</w:t>
      </w:r>
    </w:p>
    <w:p w14:paraId="35DFA015">
      <w:pPr>
        <w:pStyle w:val="8"/>
        <w:widowControl/>
        <w:snapToGrid w:val="0"/>
        <w:spacing w:before="206" w:beforeAutospacing="0" w:after="206" w:afterAutospacing="0" w:line="360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  <w:t>6.消防系统</w:t>
      </w:r>
    </w:p>
    <w:p w14:paraId="15D131BC">
      <w:pPr>
        <w:pStyle w:val="8"/>
        <w:widowControl/>
        <w:snapToGrid w:val="0"/>
        <w:spacing w:before="0" w:beforeAutospacing="0" w:after="0" w:afterAutospacing="0" w:line="360" w:lineRule="auto"/>
        <w:rPr>
          <w:rFonts w:hint="eastAsia"/>
          <w:highlight w:val="none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highlight w:val="none"/>
          <w:shd w:val="clear" w:color="auto" w:fill="FFFFFF"/>
        </w:rPr>
        <w:t>以一次消防验收实际情况为准。</w:t>
      </w:r>
    </w:p>
    <w:p w14:paraId="007315D9">
      <w:pPr>
        <w:rPr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F790D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4564E"/>
    <w:rsid w:val="3AC4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2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2025-09-29T08:17:00Z</dcterms:created>
  <dc:creator>11</dc:creator>
  <cp:lastModifiedBy>11</cp:lastModifiedBy>
  <cp:lastPrinted>2025-09-29T08:20:19Z</cp:lastPrinted>
  <dcterms:modified xsi:type="dcterms:W3CDTF">2025-09-29T08:42:43Z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686B1183C2EB4E1697888064E0514B08_11</vt:lpwstr>
  </property>
  <property fmtid="{D5CDD505-2E9C-101B-9397-08002B2CF9AE}" pid="4" name="KSOTemplateDocerSaveRecord">
    <vt:lpwstr>eyJoZGlkIjoiOTAwMDc1Mzc2ZmUyOTQzYjE2ZGU3MGIxZjJlNjEwZGMiLCJ1c2VySWQiOiIyNDkwMjQzMjkifQ==</vt:lpwstr>
  </property>
</Properties>
</file>