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E0B4B">
      <w:pPr>
        <w:jc w:val="left"/>
        <w:rPr>
          <w:rFonts w:hint="eastAsia" w:ascii="宋体" w:hAnsi="宋体" w:cs="宋体"/>
          <w:sz w:val="30"/>
          <w:szCs w:val="30"/>
          <w:highlight w:val="none"/>
        </w:rPr>
      </w:pPr>
      <w:r>
        <w:rPr>
          <w:rFonts w:hint="eastAsia" w:ascii="宋体" w:hAnsi="宋体" w:cs="宋体"/>
          <w:sz w:val="30"/>
          <w:szCs w:val="30"/>
          <w:highlight w:val="none"/>
        </w:rPr>
        <w:t>附件二：</w:t>
      </w:r>
    </w:p>
    <w:p w14:paraId="4AA32708">
      <w:pPr>
        <w:jc w:val="center"/>
        <w:rPr>
          <w:rFonts w:hint="eastAsia" w:ascii="仿宋" w:hAnsi="仿宋" w:eastAsia="仿宋" w:cs="仿宋"/>
          <w:sz w:val="36"/>
          <w:szCs w:val="36"/>
          <w:highlight w:val="none"/>
        </w:rPr>
      </w:pPr>
      <w:r>
        <w:rPr>
          <w:rFonts w:hint="eastAsia" w:ascii="仿宋" w:hAnsi="仿宋" w:eastAsia="仿宋" w:cs="仿宋"/>
          <w:b/>
          <w:bCs/>
          <w:sz w:val="36"/>
          <w:szCs w:val="36"/>
          <w:highlight w:val="none"/>
        </w:rPr>
        <w:t>评分办法</w:t>
      </w:r>
    </w:p>
    <w:p w14:paraId="042EF51A">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一、评分程序</w:t>
      </w:r>
    </w:p>
    <w:p w14:paraId="740E983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由合肥市产权交易中心根据招商单位要求组建项目评审小组对各意向方按招商公告要求提交的评审材料进行评审。采用综合评分法，其中技术分满分40分，报价分满分60分，总计100分。意向方通过资格要求，且报价不低于本项目底价的，为合格意向方。若合格意向方为1家的，评审小组可以直接推选该合格意向方为成交人；若合格意向方超过1家，则采用综合评分法按总分排序推选综合排名第一的为成交人。技术分相同时，报价分高者优先；报价分也相同的，由评标委员会根据评审材料投票，按少数服从多数的原则确定成交人。若无合格意向方的，则招商单位重启招商程序。</w:t>
      </w:r>
    </w:p>
    <w:p w14:paraId="2D7C916D">
      <w:pPr>
        <w:numPr>
          <w:ilvl w:val="0"/>
          <w:numId w:val="1"/>
        </w:numPr>
        <w:rPr>
          <w:rFonts w:hint="eastAsia" w:ascii="仿宋" w:hAnsi="仿宋" w:eastAsia="仿宋" w:cs="仿宋"/>
          <w:b/>
          <w:sz w:val="28"/>
          <w:szCs w:val="28"/>
          <w:highlight w:val="none"/>
        </w:rPr>
      </w:pPr>
      <w:r>
        <w:rPr>
          <w:rFonts w:hint="eastAsia" w:ascii="仿宋" w:hAnsi="仿宋" w:eastAsia="仿宋" w:cs="仿宋"/>
          <w:b/>
          <w:bCs/>
          <w:sz w:val="28"/>
          <w:szCs w:val="28"/>
          <w:highlight w:val="none"/>
        </w:rPr>
        <w:t>评分标准</w:t>
      </w:r>
    </w:p>
    <w:p w14:paraId="64C8F3BD">
      <w:pPr>
        <w:adjustRightInd w:val="0"/>
        <w:snapToGrid w:val="0"/>
        <w:ind w:right="-10" w:firstLine="492" w:firstLineChars="175"/>
        <w:rPr>
          <w:rFonts w:hint="eastAsia" w:ascii="仿宋" w:hAnsi="仿宋" w:eastAsia="仿宋" w:cs="仿宋"/>
          <w:b/>
          <w:highlight w:val="none"/>
        </w:rPr>
      </w:pPr>
      <w:r>
        <w:rPr>
          <w:rFonts w:hint="eastAsia" w:ascii="仿宋" w:hAnsi="仿宋" w:eastAsia="仿宋" w:cs="仿宋"/>
          <w:b/>
          <w:sz w:val="28"/>
          <w:szCs w:val="28"/>
          <w:highlight w:val="none"/>
        </w:rPr>
        <w:t>技术分评分标准</w:t>
      </w:r>
    </w:p>
    <w:tbl>
      <w:tblPr>
        <w:tblStyle w:val="3"/>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084"/>
        <w:gridCol w:w="5821"/>
        <w:gridCol w:w="827"/>
      </w:tblGrid>
      <w:tr w14:paraId="65ED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gridSpan w:val="4"/>
            <w:noWrap w:val="0"/>
            <w:vAlign w:val="center"/>
          </w:tcPr>
          <w:p w14:paraId="552EB74F">
            <w:pPr>
              <w:adjustRightInd w:val="0"/>
              <w:snapToGrid w:val="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评分表-技术分</w:t>
            </w:r>
          </w:p>
        </w:tc>
      </w:tr>
      <w:tr w14:paraId="6F36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noWrap w:val="0"/>
            <w:vAlign w:val="center"/>
          </w:tcPr>
          <w:p w14:paraId="39032418">
            <w:pPr>
              <w:adjustRightInd w:val="0"/>
              <w:snapToGrid w:val="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序号</w:t>
            </w:r>
          </w:p>
        </w:tc>
        <w:tc>
          <w:tcPr>
            <w:tcW w:w="653" w:type="pct"/>
            <w:noWrap w:val="0"/>
            <w:vAlign w:val="center"/>
          </w:tcPr>
          <w:p w14:paraId="73007C92">
            <w:pPr>
              <w:adjustRightInd w:val="0"/>
              <w:snapToGrid w:val="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指标</w:t>
            </w:r>
          </w:p>
        </w:tc>
        <w:tc>
          <w:tcPr>
            <w:tcW w:w="3507" w:type="pct"/>
            <w:noWrap w:val="0"/>
            <w:vAlign w:val="center"/>
          </w:tcPr>
          <w:p w14:paraId="0DB2C61A">
            <w:pPr>
              <w:adjustRightInd w:val="0"/>
              <w:snapToGrid w:val="0"/>
              <w:ind w:firstLine="562" w:firstLineChars="20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指标描述</w:t>
            </w:r>
          </w:p>
        </w:tc>
        <w:tc>
          <w:tcPr>
            <w:tcW w:w="497" w:type="pct"/>
            <w:noWrap w:val="0"/>
            <w:vAlign w:val="center"/>
          </w:tcPr>
          <w:p w14:paraId="4C8D4C6D">
            <w:pPr>
              <w:adjustRightInd w:val="0"/>
              <w:snapToGrid w:val="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分值范围</w:t>
            </w:r>
          </w:p>
        </w:tc>
      </w:tr>
      <w:tr w14:paraId="5FF8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noWrap w:val="0"/>
            <w:vAlign w:val="center"/>
          </w:tcPr>
          <w:p w14:paraId="0595F21D">
            <w:pPr>
              <w:jc w:val="center"/>
              <w:rPr>
                <w:rFonts w:hint="eastAsia" w:ascii="仿宋" w:hAnsi="仿宋" w:eastAsia="仿宋" w:cs="仿宋"/>
                <w:b/>
                <w:sz w:val="28"/>
                <w:szCs w:val="28"/>
                <w:highlight w:val="none"/>
              </w:rPr>
            </w:pPr>
            <w:r>
              <w:rPr>
                <w:rFonts w:hint="eastAsia" w:ascii="仿宋" w:hAnsi="仿宋" w:eastAsia="仿宋" w:cs="仿宋"/>
                <w:bCs/>
                <w:sz w:val="28"/>
                <w:szCs w:val="28"/>
                <w:highlight w:val="none"/>
              </w:rPr>
              <w:t>1</w:t>
            </w:r>
          </w:p>
        </w:tc>
        <w:tc>
          <w:tcPr>
            <w:tcW w:w="653" w:type="pct"/>
            <w:noWrap w:val="0"/>
            <w:vAlign w:val="center"/>
          </w:tcPr>
          <w:p w14:paraId="15DA74D4">
            <w:pPr>
              <w:snapToGrid w:val="0"/>
              <w:jc w:val="center"/>
              <w:rPr>
                <w:rFonts w:ascii="仿宋" w:hAnsi="仿宋" w:eastAsia="仿宋" w:cs="仿宋"/>
                <w:sz w:val="28"/>
                <w:szCs w:val="28"/>
                <w:highlight w:val="none"/>
              </w:rPr>
            </w:pPr>
            <w:r>
              <w:rPr>
                <w:rFonts w:hint="eastAsia" w:ascii="仿宋" w:hAnsi="仿宋" w:eastAsia="仿宋" w:cs="仿宋"/>
                <w:sz w:val="28"/>
                <w:szCs w:val="28"/>
                <w:highlight w:val="none"/>
              </w:rPr>
              <w:t>意向方注册资本</w:t>
            </w:r>
          </w:p>
        </w:tc>
        <w:tc>
          <w:tcPr>
            <w:tcW w:w="3507" w:type="pct"/>
            <w:noWrap w:val="0"/>
            <w:vAlign w:val="center"/>
          </w:tcPr>
          <w:p w14:paraId="1FCE1157">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意向方注册资本（F）：</w:t>
            </w:r>
          </w:p>
          <w:p w14:paraId="1920AC4D">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1.F≥1000万元，得10分；</w:t>
            </w:r>
          </w:p>
          <w:p w14:paraId="577CD1DF">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2.500≤F＜1000万元，得5分；</w:t>
            </w:r>
          </w:p>
          <w:p w14:paraId="1FE8E282">
            <w:pPr>
              <w:adjustRightInd w:val="0"/>
              <w:snapToGrid w:val="0"/>
              <w:rPr>
                <w:rFonts w:ascii="仿宋" w:hAnsi="仿宋" w:eastAsia="仿宋" w:cs="仿宋"/>
                <w:sz w:val="28"/>
                <w:szCs w:val="28"/>
                <w:highlight w:val="none"/>
              </w:rPr>
            </w:pPr>
            <w:r>
              <w:rPr>
                <w:rFonts w:hint="eastAsia" w:ascii="仿宋" w:hAnsi="仿宋" w:eastAsia="仿宋" w:cs="仿宋"/>
                <w:sz w:val="28"/>
                <w:szCs w:val="28"/>
                <w:highlight w:val="none"/>
              </w:rPr>
              <w:t>3.F＜500万元，得0分。</w:t>
            </w:r>
          </w:p>
          <w:p w14:paraId="63E1DD64">
            <w:pPr>
              <w:rPr>
                <w:rFonts w:hint="eastAsia" w:ascii="仿宋" w:hAnsi="仿宋" w:eastAsia="仿宋" w:cs="仿宋"/>
                <w:sz w:val="28"/>
                <w:szCs w:val="28"/>
                <w:highlight w:val="none"/>
              </w:rPr>
            </w:pPr>
            <w:r>
              <w:rPr>
                <w:rFonts w:hint="eastAsia" w:ascii="仿宋" w:hAnsi="仿宋" w:eastAsia="仿宋" w:cs="仿宋"/>
                <w:b/>
                <w:bCs/>
                <w:sz w:val="28"/>
                <w:szCs w:val="28"/>
                <w:highlight w:val="none"/>
              </w:rPr>
              <w:t>注：</w:t>
            </w:r>
          </w:p>
          <w:p w14:paraId="2A5C5974">
            <w:pPr>
              <w:adjustRightInd w:val="0"/>
              <w:snapToGrid w:val="0"/>
              <w:rPr>
                <w:rFonts w:ascii="仿宋" w:hAnsi="仿宋" w:eastAsia="仿宋" w:cs="仿宋"/>
                <w:b/>
                <w:bCs/>
                <w:sz w:val="28"/>
                <w:szCs w:val="28"/>
                <w:highlight w:val="none"/>
              </w:rPr>
            </w:pPr>
            <w:r>
              <w:rPr>
                <w:rFonts w:hint="eastAsia" w:ascii="仿宋" w:hAnsi="仿宋" w:eastAsia="仿宋" w:cs="仿宋"/>
                <w:b/>
                <w:bCs/>
                <w:sz w:val="28"/>
                <w:szCs w:val="28"/>
                <w:highlight w:val="none"/>
              </w:rPr>
              <w:t>1.评审材料提供营业执照；</w:t>
            </w:r>
          </w:p>
          <w:p w14:paraId="4A160D58">
            <w:pPr>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2.伪造材料一经查实立即取消资格并列入招商黑名单；</w:t>
            </w:r>
          </w:p>
          <w:p w14:paraId="7F16E0EB">
            <w:pPr>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3.其他或未提供相关材料的不得分。</w:t>
            </w:r>
          </w:p>
        </w:tc>
        <w:tc>
          <w:tcPr>
            <w:tcW w:w="497" w:type="pct"/>
            <w:noWrap w:val="0"/>
            <w:vAlign w:val="center"/>
          </w:tcPr>
          <w:p w14:paraId="3C8ED20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0-10分</w:t>
            </w:r>
          </w:p>
        </w:tc>
      </w:tr>
      <w:tr w14:paraId="4848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3" w:hRule="atLeast"/>
          <w:jc w:val="center"/>
        </w:trPr>
        <w:tc>
          <w:tcPr>
            <w:tcW w:w="342" w:type="pct"/>
            <w:noWrap w:val="0"/>
            <w:vAlign w:val="center"/>
          </w:tcPr>
          <w:p w14:paraId="380C4AA2">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653" w:type="pct"/>
            <w:noWrap w:val="0"/>
            <w:vAlign w:val="center"/>
          </w:tcPr>
          <w:p w14:paraId="75E23C86">
            <w:pPr>
              <w:suppressAutoHyphens/>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S2栋酒店业态品牌知名度（不含相关衍生品牌及同一母公司旗下其他品牌）</w:t>
            </w:r>
          </w:p>
        </w:tc>
        <w:tc>
          <w:tcPr>
            <w:tcW w:w="3507" w:type="pct"/>
            <w:noWrap w:val="0"/>
            <w:vAlign w:val="center"/>
          </w:tcPr>
          <w:p w14:paraId="22BD06E9">
            <w:pPr>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1.行业权威指数与认证（10分）</w:t>
            </w:r>
          </w:p>
          <w:p w14:paraId="55B247BC">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参考迈点研究院发布的迈点品牌指数MBI及投资指数，评估意向方酒店品牌在2025年8月的行业权威指数（意向方酒店需为迈点指数网国际国内中端酒店及以上分类）：</w:t>
            </w:r>
          </w:p>
          <w:p w14:paraId="56AFB0F4">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MBI指数：</w:t>
            </w:r>
          </w:p>
          <w:p w14:paraId="6CC2D6FE">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（1）MBI指数≥550，得5分；</w:t>
            </w:r>
          </w:p>
          <w:p w14:paraId="25E8A589">
            <w:pPr>
              <w:adjustRightInd w:val="0"/>
              <w:snapToGrid w:val="0"/>
              <w:rPr>
                <w:rFonts w:hint="eastAsia" w:ascii="仿宋" w:hAnsi="仿宋" w:eastAsia="仿宋" w:cs="仿宋"/>
                <w:sz w:val="28"/>
                <w:szCs w:val="28"/>
                <w:highlight w:val="none"/>
              </w:rPr>
            </w:pPr>
            <w:r>
              <w:rPr>
                <w:rFonts w:hint="eastAsia" w:ascii="仿宋" w:hAnsi="仿宋" w:eastAsia="仿宋" w:cs="仿宋"/>
                <w:bCs/>
                <w:sz w:val="28"/>
                <w:szCs w:val="28"/>
                <w:highlight w:val="none"/>
              </w:rPr>
              <w:t>（2）400≤</w:t>
            </w:r>
            <w:r>
              <w:rPr>
                <w:rFonts w:hint="eastAsia" w:ascii="仿宋" w:hAnsi="仿宋" w:eastAsia="仿宋" w:cs="仿宋"/>
                <w:sz w:val="28"/>
                <w:szCs w:val="28"/>
                <w:highlight w:val="none"/>
              </w:rPr>
              <w:t>MBI指数</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550，得2分；</w:t>
            </w:r>
          </w:p>
          <w:p w14:paraId="1FB9400B">
            <w:pPr>
              <w:adjustRightInd w:val="0"/>
              <w:snapToGrid w:val="0"/>
              <w:rPr>
                <w:rFonts w:hint="eastAsia" w:ascii="仿宋" w:hAnsi="仿宋" w:eastAsia="仿宋" w:cs="仿宋"/>
                <w:sz w:val="28"/>
                <w:szCs w:val="28"/>
                <w:highlight w:val="none"/>
              </w:rPr>
            </w:pPr>
            <w:r>
              <w:rPr>
                <w:rFonts w:hint="eastAsia" w:ascii="仿宋" w:hAnsi="仿宋" w:eastAsia="仿宋" w:cs="仿宋"/>
                <w:bCs/>
                <w:sz w:val="28"/>
                <w:szCs w:val="28"/>
                <w:highlight w:val="none"/>
              </w:rPr>
              <w:t>（3）300≤</w:t>
            </w:r>
            <w:r>
              <w:rPr>
                <w:rFonts w:hint="eastAsia" w:ascii="仿宋" w:hAnsi="仿宋" w:eastAsia="仿宋" w:cs="仿宋"/>
                <w:sz w:val="28"/>
                <w:szCs w:val="28"/>
                <w:highlight w:val="none"/>
              </w:rPr>
              <w:t>MBI指数</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400，得1分；</w:t>
            </w:r>
          </w:p>
          <w:p w14:paraId="078980D7">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（4）MBI指数</w:t>
            </w:r>
            <w:r>
              <w:rPr>
                <w:rFonts w:hint="eastAsia" w:ascii="仿宋" w:hAnsi="仿宋" w:eastAsia="仿宋" w:cs="仿宋"/>
                <w:bCs/>
                <w:sz w:val="28"/>
                <w:szCs w:val="28"/>
                <w:highlight w:val="none"/>
              </w:rPr>
              <w:t>＜3</w:t>
            </w:r>
            <w:r>
              <w:rPr>
                <w:rFonts w:hint="eastAsia" w:ascii="仿宋" w:hAnsi="仿宋" w:eastAsia="仿宋" w:cs="仿宋"/>
                <w:sz w:val="28"/>
                <w:szCs w:val="28"/>
                <w:highlight w:val="none"/>
              </w:rPr>
              <w:t>00或暂无榜单指数，得0分。</w:t>
            </w:r>
          </w:p>
          <w:p w14:paraId="16FDB633">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投资指数：</w:t>
            </w:r>
          </w:p>
          <w:p w14:paraId="045410C6">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（1）投资指数≥200，得5分；</w:t>
            </w:r>
          </w:p>
          <w:p w14:paraId="6ECC3063">
            <w:pPr>
              <w:adjustRightInd w:val="0"/>
              <w:snapToGrid w:val="0"/>
              <w:rPr>
                <w:rFonts w:hint="eastAsia" w:ascii="仿宋" w:hAnsi="仿宋" w:eastAsia="仿宋" w:cs="仿宋"/>
                <w:sz w:val="28"/>
                <w:szCs w:val="28"/>
                <w:highlight w:val="none"/>
              </w:rPr>
            </w:pPr>
            <w:r>
              <w:rPr>
                <w:rFonts w:hint="eastAsia" w:ascii="仿宋" w:hAnsi="仿宋" w:eastAsia="仿宋" w:cs="仿宋"/>
                <w:bCs/>
                <w:sz w:val="28"/>
                <w:szCs w:val="28"/>
                <w:highlight w:val="none"/>
              </w:rPr>
              <w:t>（2）180≤</w:t>
            </w:r>
            <w:r>
              <w:rPr>
                <w:rFonts w:hint="eastAsia" w:ascii="仿宋" w:hAnsi="仿宋" w:eastAsia="仿宋" w:cs="仿宋"/>
                <w:sz w:val="28"/>
                <w:szCs w:val="28"/>
                <w:highlight w:val="none"/>
              </w:rPr>
              <w:t>投资指数</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200，得2分；</w:t>
            </w:r>
          </w:p>
          <w:p w14:paraId="1F5ABF4D">
            <w:pPr>
              <w:adjustRightInd w:val="0"/>
              <w:snapToGrid w:val="0"/>
              <w:rPr>
                <w:rFonts w:hint="eastAsia" w:ascii="仿宋" w:hAnsi="仿宋" w:eastAsia="仿宋" w:cs="仿宋"/>
                <w:sz w:val="28"/>
                <w:szCs w:val="28"/>
                <w:highlight w:val="none"/>
              </w:rPr>
            </w:pPr>
            <w:r>
              <w:rPr>
                <w:rFonts w:hint="eastAsia" w:ascii="仿宋" w:hAnsi="仿宋" w:eastAsia="仿宋" w:cs="仿宋"/>
                <w:bCs/>
                <w:sz w:val="28"/>
                <w:szCs w:val="28"/>
                <w:highlight w:val="none"/>
              </w:rPr>
              <w:t>（3）100≤</w:t>
            </w:r>
            <w:r>
              <w:rPr>
                <w:rFonts w:hint="eastAsia" w:ascii="仿宋" w:hAnsi="仿宋" w:eastAsia="仿宋" w:cs="仿宋"/>
                <w:sz w:val="28"/>
                <w:szCs w:val="28"/>
                <w:highlight w:val="none"/>
              </w:rPr>
              <w:t>投资指数</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180，得1分；</w:t>
            </w:r>
          </w:p>
          <w:p w14:paraId="4E4E5B41">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（4）投资指数</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100或暂无榜单指数，得0分。</w:t>
            </w:r>
          </w:p>
          <w:p w14:paraId="08363134">
            <w:pPr>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2.区域市场覆盖能力（10分）</w:t>
            </w:r>
          </w:p>
          <w:p w14:paraId="5846527F">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品牌在合肥市（含所属市、县、区）的门店布局密度。</w:t>
            </w:r>
          </w:p>
          <w:p w14:paraId="4DF53986">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（1）合肥辖区、县内品牌酒店数量达到40家及以上的，得10分；</w:t>
            </w:r>
          </w:p>
          <w:p w14:paraId="053057AA">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（2）合肥辖区、县内品牌酒店数量达到30家及以上的，得7分；</w:t>
            </w:r>
          </w:p>
          <w:p w14:paraId="120D513C">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（3）合肥辖区、县内品牌酒店数量达到20家及以上的，得3分；</w:t>
            </w:r>
          </w:p>
          <w:p w14:paraId="4086FB57">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（4）合肥辖区、县内品牌酒店数量低于10家店的，得0分。</w:t>
            </w:r>
          </w:p>
          <w:p w14:paraId="521E3FB2">
            <w:pPr>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w:t>
            </w:r>
          </w:p>
          <w:p w14:paraId="0B804A7B">
            <w:pPr>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1.迈点品牌指数MBI及投资指数将依据迈点指数网进行评审打分，意向方提供迈点指数网2025年8月份数据截图；</w:t>
            </w:r>
          </w:p>
          <w:p w14:paraId="64869478">
            <w:pPr>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2.意向方提供合肥市现有开业门店清单（注明具体区县、开业时间）、门店位置分布图等；</w:t>
            </w:r>
          </w:p>
          <w:p w14:paraId="58213A3B">
            <w:pPr>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3.其他或未提供相关材料的不得分。</w:t>
            </w:r>
          </w:p>
        </w:tc>
        <w:tc>
          <w:tcPr>
            <w:tcW w:w="497" w:type="pct"/>
            <w:noWrap w:val="0"/>
            <w:vAlign w:val="center"/>
          </w:tcPr>
          <w:p w14:paraId="5C9C6088">
            <w:pPr>
              <w:suppressAutoHyphens/>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0-20分</w:t>
            </w:r>
          </w:p>
        </w:tc>
      </w:tr>
      <w:tr w14:paraId="34D7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42" w:type="pct"/>
            <w:noWrap w:val="0"/>
            <w:vAlign w:val="center"/>
          </w:tcPr>
          <w:p w14:paraId="7490F31F">
            <w:pPr>
              <w:jc w:val="center"/>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3</w:t>
            </w:r>
          </w:p>
        </w:tc>
        <w:tc>
          <w:tcPr>
            <w:tcW w:w="653" w:type="pct"/>
            <w:noWrap w:val="0"/>
            <w:vAlign w:val="center"/>
          </w:tcPr>
          <w:p w14:paraId="62B06E2E">
            <w:pPr>
              <w:suppressAutoHyphens/>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装修改造运营方案</w:t>
            </w:r>
          </w:p>
        </w:tc>
        <w:tc>
          <w:tcPr>
            <w:tcW w:w="3507" w:type="pct"/>
            <w:noWrap w:val="0"/>
            <w:vAlign w:val="center"/>
          </w:tcPr>
          <w:p w14:paraId="46CBFA02">
            <w:pPr>
              <w:suppressAutoHyphens/>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1.装修改造及业态规划方案（F1）</w:t>
            </w:r>
          </w:p>
          <w:p w14:paraId="53E2C579">
            <w:pPr>
              <w:suppressAutoHyphens/>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意向方提供装修改造方案及业态规划方案，修改造方案内容包括但不限于平面布局、效果图设计等；业态规划方案内容应涵盖酒店业态及其余商业配套业态（如餐饮、会议、休闲娱乐等）的总体规划。</w:t>
            </w:r>
          </w:p>
          <w:p w14:paraId="26F060D2">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方案详尽、创新，设计美观且符合项目实际需求以及酒店品牌标准，功能分区合理，业态定位精准，酒店与其余商业业态布局科学、功能互补性强、品牌组合丰富且层次清晰，落位规划合理，得2＜F1≤5分；</w:t>
            </w:r>
          </w:p>
          <w:p w14:paraId="4534B3D1">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仅提供基础平面图或简易示意图，仅对酒店及商业业态进行基础性描述，品牌组合与落位规划较为简单，得0＜F1≤2分；</w:t>
            </w:r>
          </w:p>
          <w:p w14:paraId="2CEAB030">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未提供或方案与项目实际明显偏离，得0分。</w:t>
            </w:r>
          </w:p>
          <w:p w14:paraId="6A873494">
            <w:pPr>
              <w:suppressAutoHyphens/>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2.运营管理方案（F2）</w:t>
            </w:r>
          </w:p>
          <w:p w14:paraId="63F5341F">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意向方提供运营管理方案，内容包括但不限于投资预算、运营管理体系等。</w:t>
            </w:r>
          </w:p>
          <w:p w14:paraId="4BDD53E4">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运营方案与品牌定位深度绑定，投资预算编制规范，管理体系完整，得2＜F2≤5分；</w:t>
            </w:r>
          </w:p>
          <w:p w14:paraId="7B2AE05B">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仅描述基础运营思路，投资估算框架完整但缺乏细化条目，管理方案仅框架性描述，得0＜F2≤2分；</w:t>
            </w:r>
          </w:p>
          <w:p w14:paraId="10E4A998">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未提供或方案与项目实际明显偏离，得0分。</w:t>
            </w:r>
          </w:p>
          <w:p w14:paraId="5D4EB658">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w:t>
            </w:r>
          </w:p>
          <w:p w14:paraId="2CE018B5">
            <w:pPr>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评审时意向方提交的装修改造方案将作为装修审批、竣工验收的重要依据文件；若施工中需优化调整，须提前向招商单位提交书面变更申请（附对比说明及图纸），经审核确认符合安全规范且未降低原标准后方可实施。擅自降低原标准或违规改动，招商单位有权要求停工整改或解除合同；</w:t>
            </w:r>
          </w:p>
          <w:p w14:paraId="57599965">
            <w:pPr>
              <w:adjustRightInd w:val="0"/>
              <w:snapToGrid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2.对擅自拆改、变动或损坏房屋主体结构及违规拆除等重大偏差行为，招商单位有权单方解除合同、收回房屋，并通知成交人限期腾空搬离，对成交人所实施的装饰装修改造部分不予任何形式的补偿或赔偿。</w:t>
            </w:r>
          </w:p>
          <w:p w14:paraId="6D0E405E">
            <w:pPr>
              <w:adjustRightInd w:val="0"/>
              <w:snapToGrid w:val="0"/>
              <w:rPr>
                <w:rFonts w:hint="eastAsia" w:ascii="仿宋" w:hAnsi="仿宋" w:eastAsia="仿宋" w:cs="仿宋"/>
                <w:sz w:val="28"/>
                <w:szCs w:val="28"/>
                <w:highlight w:val="none"/>
              </w:rPr>
            </w:pPr>
            <w:r>
              <w:rPr>
                <w:rFonts w:hint="eastAsia" w:ascii="仿宋" w:hAnsi="仿宋" w:eastAsia="仿宋" w:cs="仿宋"/>
                <w:b/>
                <w:bCs/>
                <w:sz w:val="28"/>
                <w:szCs w:val="28"/>
                <w:highlight w:val="none"/>
              </w:rPr>
              <w:t>3.意向方制定装修改造运营方案过程中可能产生的费用需自行承担。同时，这些费用并不代表成交保证，成交结果仍取决于招商评审的综合评价。</w:t>
            </w:r>
          </w:p>
        </w:tc>
        <w:tc>
          <w:tcPr>
            <w:tcW w:w="497" w:type="pct"/>
            <w:noWrap w:val="0"/>
            <w:vAlign w:val="center"/>
          </w:tcPr>
          <w:p w14:paraId="26925487">
            <w:pPr>
              <w:suppressAutoHyphens/>
              <w:adjustRightInd w:val="0"/>
              <w:snapToGrid w:val="0"/>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0-10分</w:t>
            </w:r>
          </w:p>
        </w:tc>
      </w:tr>
      <w:tr w14:paraId="27CC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342" w:type="pct"/>
            <w:noWrap w:val="0"/>
            <w:vAlign w:val="center"/>
          </w:tcPr>
          <w:p w14:paraId="50BAC1BF">
            <w:pPr>
              <w:jc w:val="center"/>
              <w:rPr>
                <w:rFonts w:hint="eastAsia" w:ascii="仿宋" w:hAnsi="仿宋" w:eastAsia="仿宋" w:cs="仿宋"/>
                <w:color w:val="FF0000"/>
                <w:sz w:val="28"/>
                <w:szCs w:val="28"/>
                <w:highlight w:val="none"/>
              </w:rPr>
            </w:pPr>
          </w:p>
        </w:tc>
        <w:tc>
          <w:tcPr>
            <w:tcW w:w="653" w:type="pct"/>
            <w:noWrap w:val="0"/>
            <w:vAlign w:val="center"/>
          </w:tcPr>
          <w:p w14:paraId="5C0F9796">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合计</w:t>
            </w:r>
          </w:p>
        </w:tc>
        <w:tc>
          <w:tcPr>
            <w:tcW w:w="3507" w:type="pct"/>
            <w:noWrap w:val="0"/>
            <w:vAlign w:val="center"/>
          </w:tcPr>
          <w:p w14:paraId="29E50397">
            <w:pPr>
              <w:jc w:val="center"/>
              <w:rPr>
                <w:rFonts w:hint="eastAsia" w:ascii="仿宋" w:hAnsi="仿宋" w:eastAsia="仿宋" w:cs="仿宋"/>
                <w:sz w:val="28"/>
                <w:szCs w:val="28"/>
                <w:highlight w:val="none"/>
              </w:rPr>
            </w:pPr>
          </w:p>
        </w:tc>
        <w:tc>
          <w:tcPr>
            <w:tcW w:w="497" w:type="pct"/>
            <w:noWrap w:val="0"/>
            <w:vAlign w:val="center"/>
          </w:tcPr>
          <w:p w14:paraId="40DD8468">
            <w:pPr>
              <w:jc w:val="center"/>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0-40分</w:t>
            </w:r>
          </w:p>
        </w:tc>
      </w:tr>
    </w:tbl>
    <w:p w14:paraId="094B9084">
      <w:pPr>
        <w:adjustRightInd w:val="0"/>
        <w:snapToGrid w:val="0"/>
        <w:spacing w:line="360" w:lineRule="auto"/>
        <w:ind w:right="-10"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报价分评分标准</w:t>
      </w:r>
    </w:p>
    <w:tbl>
      <w:tblPr>
        <w:tblStyle w:val="3"/>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002"/>
        <w:gridCol w:w="5972"/>
        <w:gridCol w:w="916"/>
      </w:tblGrid>
      <w:tr w14:paraId="3A98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05" w:type="pct"/>
            <w:noWrap w:val="0"/>
            <w:vAlign w:val="center"/>
          </w:tcPr>
          <w:p w14:paraId="33A7A716">
            <w:pPr>
              <w:spacing w:line="440" w:lineRule="exact"/>
              <w:rPr>
                <w:rFonts w:hint="eastAsia" w:ascii="仿宋" w:hAnsi="仿宋" w:eastAsia="仿宋" w:cs="仿宋"/>
                <w:b/>
                <w:sz w:val="28"/>
                <w:szCs w:val="28"/>
                <w:highlight w:val="none"/>
              </w:rPr>
            </w:pPr>
          </w:p>
        </w:tc>
        <w:tc>
          <w:tcPr>
            <w:tcW w:w="1002" w:type="dxa"/>
            <w:noWrap w:val="0"/>
            <w:vAlign w:val="center"/>
          </w:tcPr>
          <w:p w14:paraId="26D4CFF5">
            <w:pPr>
              <w:adjustRightInd w:val="0"/>
              <w:snapToGrid w:val="0"/>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指标</w:t>
            </w:r>
          </w:p>
        </w:tc>
        <w:tc>
          <w:tcPr>
            <w:tcW w:w="5972" w:type="dxa"/>
            <w:noWrap w:val="0"/>
            <w:vAlign w:val="center"/>
          </w:tcPr>
          <w:p w14:paraId="770D4CF4">
            <w:pPr>
              <w:adjustRightInd w:val="0"/>
              <w:snapToGrid w:val="0"/>
              <w:ind w:firstLine="562" w:firstLineChars="200"/>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指标描述</w:t>
            </w:r>
          </w:p>
        </w:tc>
        <w:tc>
          <w:tcPr>
            <w:tcW w:w="916" w:type="dxa"/>
            <w:noWrap w:val="0"/>
            <w:vAlign w:val="center"/>
          </w:tcPr>
          <w:p w14:paraId="4E6D860E">
            <w:pPr>
              <w:adjustRightInd w:val="0"/>
              <w:snapToGrid w:val="0"/>
              <w:jc w:val="center"/>
              <w:rPr>
                <w:rFonts w:hint="eastAsia" w:ascii="仿宋" w:hAnsi="仿宋" w:eastAsia="仿宋" w:cs="仿宋"/>
                <w:bCs/>
                <w:kern w:val="0"/>
                <w:sz w:val="28"/>
                <w:szCs w:val="28"/>
                <w:highlight w:val="none"/>
              </w:rPr>
            </w:pPr>
            <w:r>
              <w:rPr>
                <w:rFonts w:hint="eastAsia" w:ascii="仿宋" w:hAnsi="仿宋" w:eastAsia="仿宋" w:cs="仿宋"/>
                <w:b/>
                <w:sz w:val="28"/>
                <w:szCs w:val="28"/>
                <w:highlight w:val="none"/>
              </w:rPr>
              <w:t>分值范围</w:t>
            </w:r>
          </w:p>
        </w:tc>
      </w:tr>
      <w:tr w14:paraId="69BB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305" w:type="pct"/>
            <w:noWrap w:val="0"/>
            <w:vAlign w:val="center"/>
          </w:tcPr>
          <w:p w14:paraId="5125CDF4">
            <w:pPr>
              <w:spacing w:line="44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报价评审</w:t>
            </w:r>
          </w:p>
        </w:tc>
        <w:tc>
          <w:tcPr>
            <w:tcW w:w="596" w:type="pct"/>
            <w:noWrap w:val="0"/>
            <w:vAlign w:val="center"/>
          </w:tcPr>
          <w:p w14:paraId="3AE25F45">
            <w:pPr>
              <w:spacing w:line="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报价得分</w:t>
            </w:r>
          </w:p>
        </w:tc>
        <w:tc>
          <w:tcPr>
            <w:tcW w:w="3552" w:type="pct"/>
            <w:noWrap w:val="0"/>
            <w:vAlign w:val="center"/>
          </w:tcPr>
          <w:p w14:paraId="26147FB7">
            <w:pPr>
              <w:spacing w:line="0" w:lineRule="atLeast"/>
              <w:rPr>
                <w:rFonts w:hint="eastAsia" w:ascii="仿宋" w:hAnsi="仿宋" w:eastAsia="仿宋" w:cs="仿宋"/>
                <w:sz w:val="28"/>
                <w:szCs w:val="28"/>
                <w:highlight w:val="none"/>
              </w:rPr>
            </w:pPr>
            <w:r>
              <w:rPr>
                <w:rFonts w:hint="eastAsia" w:ascii="仿宋" w:hAnsi="仿宋" w:eastAsia="仿宋" w:cs="仿宋"/>
                <w:sz w:val="28"/>
                <w:szCs w:val="28"/>
                <w:highlight w:val="none"/>
              </w:rPr>
              <w:t>1.确定评标价</w:t>
            </w:r>
          </w:p>
          <w:p w14:paraId="2BC8DCA9">
            <w:pPr>
              <w:spacing w:line="0" w:lineRule="atLeast"/>
              <w:rPr>
                <w:rFonts w:hint="eastAsia" w:ascii="仿宋" w:hAnsi="仿宋" w:eastAsia="仿宋" w:cs="仿宋"/>
                <w:sz w:val="28"/>
                <w:szCs w:val="28"/>
                <w:highlight w:val="none"/>
              </w:rPr>
            </w:pPr>
            <w:r>
              <w:rPr>
                <w:rFonts w:hint="eastAsia" w:ascii="仿宋" w:hAnsi="仿宋" w:eastAsia="仿宋" w:cs="仿宋"/>
                <w:sz w:val="28"/>
                <w:szCs w:val="28"/>
                <w:highlight w:val="none"/>
              </w:rPr>
              <w:t>评标价=最终报价</w:t>
            </w:r>
          </w:p>
          <w:p w14:paraId="6A6B34F9">
            <w:pPr>
              <w:spacing w:line="0" w:lineRule="atLeast"/>
              <w:rPr>
                <w:rFonts w:hint="eastAsia" w:ascii="仿宋" w:hAnsi="仿宋" w:eastAsia="仿宋" w:cs="仿宋"/>
                <w:sz w:val="28"/>
                <w:szCs w:val="28"/>
                <w:highlight w:val="none"/>
              </w:rPr>
            </w:pPr>
            <w:r>
              <w:rPr>
                <w:rFonts w:hint="eastAsia" w:ascii="仿宋" w:hAnsi="仿宋" w:eastAsia="仿宋" w:cs="仿宋"/>
                <w:sz w:val="28"/>
                <w:szCs w:val="28"/>
                <w:highlight w:val="none"/>
              </w:rPr>
              <w:t>2.确定评标基准价</w:t>
            </w:r>
          </w:p>
          <w:p w14:paraId="7240B83E">
            <w:pPr>
              <w:spacing w:line="0" w:lineRule="atLeast"/>
              <w:rPr>
                <w:rFonts w:hint="eastAsia" w:ascii="仿宋" w:hAnsi="仿宋" w:eastAsia="仿宋" w:cs="仿宋"/>
                <w:sz w:val="28"/>
                <w:szCs w:val="28"/>
                <w:highlight w:val="none"/>
              </w:rPr>
            </w:pPr>
            <w:r>
              <w:rPr>
                <w:rFonts w:hint="eastAsia" w:ascii="仿宋" w:hAnsi="仿宋" w:eastAsia="仿宋" w:cs="仿宋"/>
                <w:sz w:val="28"/>
                <w:szCs w:val="28"/>
                <w:highlight w:val="none"/>
              </w:rPr>
              <w:t>以通过资格要求的评审材料的最高评标价作为评标基准价</w:t>
            </w:r>
          </w:p>
          <w:p w14:paraId="4896C1C2">
            <w:pPr>
              <w:spacing w:line="0" w:lineRule="atLeast"/>
              <w:rPr>
                <w:rFonts w:hint="eastAsia" w:ascii="仿宋" w:hAnsi="仿宋" w:eastAsia="仿宋" w:cs="仿宋"/>
                <w:sz w:val="28"/>
                <w:szCs w:val="28"/>
                <w:highlight w:val="none"/>
              </w:rPr>
            </w:pPr>
            <w:r>
              <w:rPr>
                <w:rFonts w:hint="eastAsia" w:ascii="仿宋" w:hAnsi="仿宋" w:eastAsia="仿宋" w:cs="仿宋"/>
                <w:sz w:val="28"/>
                <w:szCs w:val="28"/>
                <w:highlight w:val="none"/>
              </w:rPr>
              <w:t>3.评标价得分计算</w:t>
            </w:r>
          </w:p>
          <w:p w14:paraId="2AD7134D">
            <w:pPr>
              <w:spacing w:line="0" w:lineRule="atLeast"/>
              <w:rPr>
                <w:rFonts w:hint="eastAsia" w:ascii="仿宋" w:hAnsi="仿宋" w:eastAsia="仿宋" w:cs="仿宋"/>
                <w:sz w:val="28"/>
                <w:szCs w:val="28"/>
                <w:highlight w:val="none"/>
              </w:rPr>
            </w:pPr>
            <w:r>
              <w:rPr>
                <w:rFonts w:hint="eastAsia" w:ascii="仿宋" w:hAnsi="仿宋" w:eastAsia="仿宋" w:cs="仿宋"/>
                <w:sz w:val="28"/>
                <w:szCs w:val="28"/>
                <w:highlight w:val="none"/>
              </w:rPr>
              <w:t>评标价得分按照下列公式计算：</w:t>
            </w:r>
          </w:p>
          <w:p w14:paraId="1A75F25A">
            <w:pPr>
              <w:spacing w:line="0" w:lineRule="atLeast"/>
              <w:rPr>
                <w:rFonts w:hint="eastAsia" w:ascii="仿宋" w:hAnsi="仿宋" w:eastAsia="仿宋" w:cs="仿宋"/>
                <w:sz w:val="28"/>
                <w:szCs w:val="28"/>
                <w:highlight w:val="none"/>
              </w:rPr>
            </w:pPr>
            <w:r>
              <w:rPr>
                <w:rFonts w:hint="eastAsia" w:ascii="仿宋" w:hAnsi="仿宋" w:eastAsia="仿宋" w:cs="仿宋"/>
                <w:sz w:val="28"/>
                <w:szCs w:val="28"/>
                <w:highlight w:val="none"/>
              </w:rPr>
              <w:t>评标价得分＝（评标价/评标基准价）*60。</w:t>
            </w:r>
          </w:p>
          <w:p w14:paraId="31232B5A">
            <w:pPr>
              <w:spacing w:line="0" w:lineRule="atLeast"/>
              <w:rPr>
                <w:rFonts w:hint="eastAsia" w:ascii="仿宋" w:hAnsi="仿宋" w:eastAsia="仿宋" w:cs="仿宋"/>
                <w:sz w:val="28"/>
                <w:szCs w:val="28"/>
                <w:highlight w:val="none"/>
              </w:rPr>
            </w:pPr>
            <w:r>
              <w:rPr>
                <w:rFonts w:hint="eastAsia" w:ascii="仿宋" w:hAnsi="仿宋" w:eastAsia="仿宋" w:cs="仿宋"/>
                <w:sz w:val="28"/>
                <w:szCs w:val="28"/>
                <w:highlight w:val="none"/>
              </w:rPr>
              <w:t>报价得分保留小数点后两位，小数点后第三位“四舍五入”，即为*.**。</w:t>
            </w:r>
          </w:p>
        </w:tc>
        <w:tc>
          <w:tcPr>
            <w:tcW w:w="545" w:type="pct"/>
            <w:noWrap w:val="0"/>
            <w:vAlign w:val="center"/>
          </w:tcPr>
          <w:p w14:paraId="3AC5EB16">
            <w:pPr>
              <w:widowControl/>
              <w:spacing w:line="440" w:lineRule="exact"/>
              <w:jc w:val="center"/>
              <w:rPr>
                <w:rFonts w:hint="eastAsia" w:ascii="仿宋" w:hAnsi="仿宋" w:eastAsia="仿宋" w:cs="仿宋"/>
                <w:b/>
                <w:kern w:val="0"/>
                <w:sz w:val="28"/>
                <w:szCs w:val="28"/>
                <w:highlight w:val="none"/>
              </w:rPr>
            </w:pPr>
            <w:r>
              <w:rPr>
                <w:rFonts w:hint="eastAsia" w:ascii="仿宋" w:hAnsi="仿宋" w:eastAsia="仿宋" w:cs="仿宋"/>
                <w:bCs/>
                <w:kern w:val="0"/>
                <w:sz w:val="28"/>
                <w:szCs w:val="28"/>
                <w:highlight w:val="none"/>
              </w:rPr>
              <w:t>0-60分</w:t>
            </w:r>
          </w:p>
        </w:tc>
      </w:tr>
    </w:tbl>
    <w:p w14:paraId="46AFFD0F">
      <w:pPr>
        <w:adjustRightInd w:val="0"/>
        <w:snapToGrid w:val="0"/>
        <w:ind w:right="-10"/>
        <w:rPr>
          <w:rFonts w:hint="eastAsia" w:ascii="仿宋" w:hAnsi="仿宋" w:eastAsia="仿宋" w:cs="仿宋"/>
          <w:b/>
          <w:sz w:val="28"/>
          <w:szCs w:val="28"/>
          <w:highlight w:val="none"/>
        </w:rPr>
      </w:pPr>
    </w:p>
    <w:p w14:paraId="75B514A2">
      <w:pPr>
        <w:rPr>
          <w:highlight w:val="none"/>
        </w:rPr>
      </w:pPr>
    </w:p>
    <w:p w14:paraId="3BF760E5">
      <w:pPr>
        <w:pStyle w:val="2"/>
        <w:ind w:firstLine="480"/>
        <w:rPr>
          <w:rFonts w:hint="eastAsia" w:ascii="微软雅黑" w:hAnsi="微软雅黑" w:eastAsia="微软雅黑" w:cs="微软雅黑"/>
          <w:b/>
          <w:bCs/>
          <w:sz w:val="24"/>
          <w:highlight w:val="none"/>
        </w:rPr>
      </w:pPr>
    </w:p>
    <w:p w14:paraId="7C8DF48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276B3"/>
    <w:multiLevelType w:val="singleLevel"/>
    <w:tmpl w:val="544276B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763A790F"/>
    <w:rsid w:val="606B7F1D"/>
    <w:rsid w:val="763A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1789</Words>
  <Characters>1904</Characters>
  <Lines>0</Lines>
  <Paragraphs>0</Paragraphs>
  <TotalTime>0</TotalTime>
  <ScaleCrop>false</ScaleCrop>
  <LinksUpToDate>false</LinksUpToDate>
  <CharactersWithSpaces>1904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2025-09-29T08:40:00Z</dcterms:created>
  <dc:creator>11</dc:creator>
  <cp:lastModifiedBy>王娟</cp:lastModifiedBy>
  <dcterms:modified xsi:type="dcterms:W3CDTF">2025-09-30T02:04:00Z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4C62A2D1B6454D0499E18EE098E0232A_11</vt:lpwstr>
  </property>
  <property fmtid="{D5CDD505-2E9C-101B-9397-08002B2CF9AE}" pid="4" name="KSOTemplateDocerSaveRecord">
    <vt:lpwstr>eyJoZGlkIjoiOTAwMDc1Mzc2ZmUyOTQzYjE2ZGU3MGIxZjJlNjEwZGMiLCJ1c2VySWQiOiIyNDkwMjQzMjkifQ==</vt:lpwstr>
  </property>
</Properties>
</file>