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D35E3">
      <w:pPr>
        <w:jc w:val="left"/>
        <w:rPr>
          <w:rFonts w:hint="eastAsia" w:ascii="宋体" w:hAnsi="宋体" w:cs="宋体"/>
          <w:sz w:val="30"/>
          <w:szCs w:val="30"/>
          <w:highlight w:val="none"/>
        </w:rPr>
      </w:pPr>
      <w:r>
        <w:rPr>
          <w:rFonts w:hint="eastAsia" w:ascii="宋体" w:hAnsi="宋体" w:cs="宋体"/>
          <w:sz w:val="30"/>
          <w:szCs w:val="30"/>
          <w:highlight w:val="none"/>
        </w:rPr>
        <w:t>附件一：</w:t>
      </w:r>
    </w:p>
    <w:p w14:paraId="4A8FC692">
      <w:pPr>
        <w:pStyle w:val="2"/>
        <w:ind w:firstLine="880"/>
        <w:rPr>
          <w:rFonts w:hint="eastAsia" w:ascii="方正小标宋简体" w:hAnsi="仿宋" w:eastAsia="方正小标宋简体"/>
          <w:bCs/>
          <w:sz w:val="44"/>
          <w:szCs w:val="44"/>
          <w:highlight w:val="none"/>
        </w:rPr>
      </w:pPr>
    </w:p>
    <w:p w14:paraId="5ADB18E1">
      <w:pPr>
        <w:spacing w:line="592" w:lineRule="exact"/>
        <w:jc w:val="center"/>
        <w:rPr>
          <w:rFonts w:ascii="方正小标宋简体" w:hAnsi="仿宋" w:eastAsia="方正小标宋简体"/>
          <w:bCs/>
          <w:sz w:val="44"/>
          <w:szCs w:val="44"/>
          <w:highlight w:val="none"/>
        </w:rPr>
      </w:pPr>
      <w:r>
        <w:rPr>
          <w:rFonts w:hint="eastAsia" w:ascii="方正小标宋简体" w:hAnsi="仿宋" w:eastAsia="方正小标宋简体"/>
          <w:bCs/>
          <w:sz w:val="44"/>
          <w:szCs w:val="44"/>
          <w:highlight w:val="none"/>
        </w:rPr>
        <w:t>房屋租赁合同</w:t>
      </w:r>
    </w:p>
    <w:p w14:paraId="378DBA11">
      <w:pPr>
        <w:spacing w:line="592" w:lineRule="exact"/>
        <w:jc w:val="center"/>
        <w:rPr>
          <w:rFonts w:ascii="仿宋" w:hAnsi="仿宋" w:eastAsia="仿宋"/>
          <w:b/>
          <w:sz w:val="32"/>
          <w:szCs w:val="32"/>
          <w:highlight w:val="none"/>
        </w:rPr>
      </w:pPr>
      <w:r>
        <w:rPr>
          <w:rFonts w:hint="eastAsia" w:ascii="仿宋" w:hAnsi="仿宋" w:eastAsia="仿宋"/>
          <w:b/>
          <w:sz w:val="32"/>
          <w:szCs w:val="32"/>
          <w:highlight w:val="none"/>
        </w:rPr>
        <w:t>（合同编号：</w:t>
      </w:r>
      <w:r>
        <w:rPr>
          <w:rFonts w:hint="eastAsia" w:ascii="仿宋" w:hAnsi="仿宋" w:eastAsia="仿宋"/>
          <w:b/>
          <w:sz w:val="32"/>
          <w:szCs w:val="32"/>
          <w:highlight w:val="none"/>
          <w:u w:val="single"/>
        </w:rPr>
        <w:t xml:space="preserve"> (商业)        </w:t>
      </w:r>
      <w:r>
        <w:rPr>
          <w:rFonts w:hint="eastAsia" w:ascii="仿宋" w:hAnsi="仿宋" w:eastAsia="仿宋"/>
          <w:b/>
          <w:sz w:val="32"/>
          <w:szCs w:val="32"/>
          <w:highlight w:val="none"/>
        </w:rPr>
        <w:t>）</w:t>
      </w:r>
    </w:p>
    <w:p w14:paraId="4B9B2A54">
      <w:pPr>
        <w:spacing w:line="592" w:lineRule="exact"/>
        <w:rPr>
          <w:rFonts w:hint="eastAsia" w:ascii="仿宋" w:hAnsi="仿宋" w:eastAsia="仿宋"/>
          <w:b/>
          <w:sz w:val="28"/>
          <w:szCs w:val="28"/>
          <w:highlight w:val="none"/>
        </w:rPr>
      </w:pPr>
    </w:p>
    <w:p w14:paraId="1857F5DE">
      <w:pPr>
        <w:spacing w:line="592" w:lineRule="exact"/>
        <w:rPr>
          <w:rFonts w:hint="eastAsia" w:ascii="仿宋" w:hAnsi="仿宋" w:eastAsia="仿宋"/>
          <w:b/>
          <w:sz w:val="28"/>
          <w:szCs w:val="28"/>
          <w:highlight w:val="none"/>
        </w:rPr>
      </w:pPr>
    </w:p>
    <w:p w14:paraId="514B5DD7">
      <w:pPr>
        <w:spacing w:line="592" w:lineRule="exact"/>
        <w:rPr>
          <w:rFonts w:hint="eastAsia" w:ascii="仿宋" w:hAnsi="仿宋" w:eastAsia="仿宋"/>
          <w:b/>
          <w:sz w:val="28"/>
          <w:szCs w:val="28"/>
          <w:highlight w:val="none"/>
        </w:rPr>
      </w:pPr>
    </w:p>
    <w:p w14:paraId="1E06251A">
      <w:pPr>
        <w:spacing w:line="592" w:lineRule="exact"/>
        <w:rPr>
          <w:rFonts w:hint="eastAsia" w:ascii="仿宋" w:hAnsi="仿宋" w:eastAsia="仿宋"/>
          <w:b/>
          <w:sz w:val="28"/>
          <w:szCs w:val="28"/>
          <w:highlight w:val="none"/>
        </w:rPr>
      </w:pPr>
    </w:p>
    <w:p w14:paraId="421E9142">
      <w:pPr>
        <w:spacing w:line="592" w:lineRule="exact"/>
        <w:rPr>
          <w:rFonts w:hint="eastAsia" w:ascii="仿宋" w:hAnsi="仿宋" w:eastAsia="仿宋"/>
          <w:b/>
          <w:sz w:val="28"/>
          <w:szCs w:val="28"/>
          <w:highlight w:val="none"/>
        </w:rPr>
      </w:pPr>
    </w:p>
    <w:p w14:paraId="68B6984B">
      <w:pPr>
        <w:spacing w:line="592" w:lineRule="exact"/>
        <w:rPr>
          <w:rFonts w:hint="eastAsia" w:ascii="仿宋" w:hAnsi="仿宋" w:eastAsia="仿宋"/>
          <w:b/>
          <w:sz w:val="28"/>
          <w:szCs w:val="28"/>
          <w:highlight w:val="none"/>
        </w:rPr>
      </w:pPr>
    </w:p>
    <w:p w14:paraId="464D6C86">
      <w:pPr>
        <w:spacing w:line="592" w:lineRule="exact"/>
        <w:rPr>
          <w:rFonts w:hint="eastAsia" w:ascii="仿宋" w:hAnsi="仿宋" w:eastAsia="仿宋"/>
          <w:b/>
          <w:sz w:val="28"/>
          <w:szCs w:val="28"/>
          <w:highlight w:val="none"/>
        </w:rPr>
      </w:pPr>
    </w:p>
    <w:p w14:paraId="6516A98B">
      <w:pPr>
        <w:spacing w:line="592" w:lineRule="exact"/>
        <w:rPr>
          <w:rFonts w:hint="eastAsia" w:ascii="仿宋" w:hAnsi="仿宋" w:eastAsia="仿宋"/>
          <w:b/>
          <w:sz w:val="28"/>
          <w:szCs w:val="28"/>
          <w:highlight w:val="none"/>
        </w:rPr>
      </w:pPr>
    </w:p>
    <w:p w14:paraId="7C810353">
      <w:pPr>
        <w:spacing w:line="592" w:lineRule="exact"/>
        <w:rPr>
          <w:rFonts w:hint="eastAsia" w:ascii="仿宋" w:hAnsi="仿宋" w:eastAsia="仿宋"/>
          <w:b/>
          <w:sz w:val="28"/>
          <w:szCs w:val="28"/>
          <w:highlight w:val="none"/>
        </w:rPr>
      </w:pPr>
    </w:p>
    <w:p w14:paraId="1D42D2DF">
      <w:pPr>
        <w:spacing w:line="592" w:lineRule="exact"/>
        <w:rPr>
          <w:rFonts w:hint="eastAsia" w:ascii="仿宋" w:hAnsi="仿宋" w:eastAsia="仿宋"/>
          <w:b/>
          <w:sz w:val="28"/>
          <w:szCs w:val="28"/>
          <w:highlight w:val="none"/>
        </w:rPr>
      </w:pPr>
    </w:p>
    <w:p w14:paraId="24856CCA">
      <w:pPr>
        <w:spacing w:line="592" w:lineRule="exact"/>
        <w:rPr>
          <w:rFonts w:hint="eastAsia" w:ascii="仿宋" w:hAnsi="仿宋" w:eastAsia="仿宋"/>
          <w:b/>
          <w:sz w:val="28"/>
          <w:szCs w:val="28"/>
          <w:highlight w:val="none"/>
        </w:rPr>
      </w:pPr>
    </w:p>
    <w:p w14:paraId="250AEE70">
      <w:pPr>
        <w:spacing w:line="592" w:lineRule="exact"/>
        <w:rPr>
          <w:rFonts w:hint="eastAsia" w:ascii="仿宋" w:hAnsi="仿宋" w:eastAsia="仿宋"/>
          <w:b/>
          <w:sz w:val="28"/>
          <w:szCs w:val="28"/>
          <w:highlight w:val="none"/>
        </w:rPr>
      </w:pPr>
    </w:p>
    <w:p w14:paraId="1F264C6C">
      <w:pPr>
        <w:spacing w:line="592" w:lineRule="exact"/>
        <w:ind w:firstLine="281" w:firstLineChars="100"/>
        <w:rPr>
          <w:rFonts w:hint="eastAsia" w:ascii="仿宋" w:hAnsi="仿宋" w:eastAsia="仿宋" w:cs="仿宋"/>
          <w:b/>
          <w:sz w:val="28"/>
          <w:szCs w:val="28"/>
          <w:highlight w:val="none"/>
        </w:rPr>
      </w:pPr>
      <w:r>
        <w:rPr>
          <w:rFonts w:hint="eastAsia" w:ascii="仿宋" w:hAnsi="仿宋" w:eastAsia="仿宋" w:cs="仿宋"/>
          <w:b/>
          <w:sz w:val="28"/>
          <w:szCs w:val="28"/>
          <w:highlight w:val="none"/>
        </w:rPr>
        <w:t>房屋出租方（甲方）：</w:t>
      </w:r>
      <w:r>
        <w:rPr>
          <w:rFonts w:hint="eastAsia" w:ascii="仿宋" w:hAnsi="仿宋" w:eastAsia="仿宋" w:cs="仿宋"/>
          <w:sz w:val="28"/>
          <w:szCs w:val="28"/>
          <w:highlight w:val="none"/>
          <w:u w:val="single"/>
        </w:rPr>
        <w:t xml:space="preserve">                                   </w:t>
      </w:r>
    </w:p>
    <w:p w14:paraId="15277634">
      <w:pPr>
        <w:spacing w:line="592" w:lineRule="exact"/>
        <w:ind w:firstLine="281" w:firstLineChars="100"/>
        <w:rPr>
          <w:rFonts w:hint="eastAsia" w:ascii="仿宋" w:hAnsi="仿宋" w:eastAsia="仿宋" w:cs="仿宋"/>
          <w:bCs/>
          <w:sz w:val="28"/>
          <w:szCs w:val="28"/>
          <w:highlight w:val="none"/>
          <w:u w:val="single"/>
        </w:rPr>
      </w:pPr>
      <w:r>
        <w:rPr>
          <w:rFonts w:hint="eastAsia" w:ascii="仿宋" w:hAnsi="仿宋" w:eastAsia="仿宋" w:cs="仿宋"/>
          <w:b/>
          <w:sz w:val="28"/>
          <w:szCs w:val="28"/>
          <w:highlight w:val="none"/>
        </w:rPr>
        <w:t>房屋承租方（乙方）：</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Cs/>
          <w:sz w:val="28"/>
          <w:szCs w:val="28"/>
          <w:highlight w:val="none"/>
          <w:u w:val="single"/>
        </w:rPr>
        <w:t xml:space="preserve"> </w:t>
      </w:r>
    </w:p>
    <w:p w14:paraId="4BFBA262">
      <w:pPr>
        <w:spacing w:line="592" w:lineRule="exact"/>
        <w:ind w:firstLine="281" w:firstLineChars="100"/>
        <w:rPr>
          <w:rFonts w:hint="eastAsia" w:ascii="仿宋" w:hAnsi="仿宋" w:eastAsia="仿宋" w:cs="仿宋"/>
          <w:b/>
          <w:sz w:val="28"/>
          <w:szCs w:val="28"/>
          <w:highlight w:val="none"/>
        </w:rPr>
      </w:pPr>
      <w:r>
        <w:rPr>
          <w:rFonts w:hint="eastAsia" w:ascii="仿宋" w:hAnsi="仿宋" w:eastAsia="仿宋" w:cs="仿宋"/>
          <w:b/>
          <w:sz w:val="28"/>
          <w:szCs w:val="28"/>
          <w:highlight w:val="none"/>
        </w:rPr>
        <w:t>合 同 签 订 地 点：</w:t>
      </w:r>
      <w:r>
        <w:rPr>
          <w:rFonts w:hint="eastAsia" w:ascii="仿宋" w:hAnsi="仿宋" w:eastAsia="仿宋" w:cs="仿宋"/>
          <w:b/>
          <w:sz w:val="28"/>
          <w:szCs w:val="28"/>
          <w:highlight w:val="none"/>
          <w:u w:val="single"/>
        </w:rPr>
        <w:t xml:space="preserve">  合肥市                       </w:t>
      </w:r>
      <w:r>
        <w:rPr>
          <w:rFonts w:hint="eastAsia" w:ascii="仿宋" w:hAnsi="仿宋" w:eastAsia="仿宋" w:cs="仿宋"/>
          <w:sz w:val="28"/>
          <w:szCs w:val="28"/>
          <w:highlight w:val="none"/>
          <w:u w:val="single"/>
        </w:rPr>
        <w:t xml:space="preserve">    </w:t>
      </w:r>
    </w:p>
    <w:p w14:paraId="65F050C4">
      <w:pPr>
        <w:spacing w:line="592" w:lineRule="exact"/>
        <w:ind w:firstLine="281" w:firstLineChars="100"/>
        <w:rPr>
          <w:rFonts w:hint="eastAsia" w:ascii="仿宋" w:hAnsi="仿宋" w:eastAsia="仿宋" w:cs="仿宋"/>
          <w:sz w:val="28"/>
          <w:szCs w:val="28"/>
          <w:highlight w:val="none"/>
        </w:rPr>
      </w:pPr>
      <w:r>
        <w:rPr>
          <w:rFonts w:hint="eastAsia" w:ascii="仿宋" w:hAnsi="仿宋" w:eastAsia="仿宋" w:cs="仿宋"/>
          <w:b/>
          <w:sz w:val="28"/>
          <w:szCs w:val="28"/>
          <w:highlight w:val="none"/>
        </w:rPr>
        <w:t>合 同 签 订 时 间：</w:t>
      </w:r>
      <w:r>
        <w:rPr>
          <w:rFonts w:hint="eastAsia" w:ascii="仿宋" w:hAnsi="仿宋" w:eastAsia="仿宋" w:cs="仿宋"/>
          <w:sz w:val="28"/>
          <w:szCs w:val="28"/>
          <w:highlight w:val="none"/>
          <w:u w:val="single"/>
        </w:rPr>
        <w:t xml:space="preserve">       年   月                     </w:t>
      </w:r>
    </w:p>
    <w:p w14:paraId="47F67E0C">
      <w:pPr>
        <w:widowControl/>
        <w:spacing w:line="592" w:lineRule="exact"/>
        <w:jc w:val="left"/>
        <w:rPr>
          <w:rFonts w:hint="eastAsia" w:ascii="仿宋" w:hAnsi="仿宋" w:eastAsia="仿宋" w:cs="仿宋"/>
          <w:b/>
          <w:bCs/>
          <w:sz w:val="28"/>
          <w:szCs w:val="28"/>
          <w:highlight w:val="none"/>
        </w:rPr>
        <w:sectPr>
          <w:headerReference r:id="rId3" w:type="default"/>
          <w:pgSz w:w="11906" w:h="16838"/>
          <w:pgMar w:top="1213" w:right="1519" w:bottom="1213" w:left="1519" w:header="851" w:footer="992" w:gutter="0"/>
          <w:cols w:space="720" w:num="1"/>
          <w:titlePg/>
          <w:docGrid w:type="lines" w:linePitch="312" w:charSpace="0"/>
        </w:sectPr>
      </w:pPr>
    </w:p>
    <w:p w14:paraId="37C4B1A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根据《中华人民共和国民法典》等法律法规的规定，为明确双方的权利义务关系，甲乙双方在平等、自愿的基础上，经协商一致，签订本合同。</w:t>
      </w:r>
    </w:p>
    <w:p w14:paraId="7072C27C">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第一条 租赁房屋的地址、面积、用途</w:t>
      </w:r>
    </w:p>
    <w:p w14:paraId="3DE4C02D">
      <w:pPr>
        <w:pStyle w:val="4"/>
        <w:widowControl/>
        <w:spacing w:before="0" w:beforeAutospacing="0" w:after="0" w:afterAutospacing="0"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房屋座落于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，建筑面积</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m²，用途为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54A1BD4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乙方使用租赁房屋必须符合上述房屋用途及相关法律法规要求。</w:t>
      </w:r>
    </w:p>
    <w:p w14:paraId="00C4700C">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第二条 租赁期限</w:t>
      </w:r>
    </w:p>
    <w:p w14:paraId="5E2CEE1E">
      <w:pPr>
        <w:spacing w:line="592"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因房屋当前尚未竣工，房屋租赁期限暂定自</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日起至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止，其中本项目给予免租期共计12个月，分别于合同期第二、第三、第四、第五个合同年的第四账单期给予连续3个月的免租期。免租期内仅免除租金，乙方仍需按照约定承担物业管理及其他费用。免租期间暂定如下，具体房屋租赁期限及免租期期间以实际交付使用移交表为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5"/>
        <w:gridCol w:w="2967"/>
      </w:tblGrid>
      <w:tr w14:paraId="71F0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01677F63">
            <w:pPr>
              <w:spacing w:line="592"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免租期间</w:t>
            </w:r>
          </w:p>
        </w:tc>
        <w:tc>
          <w:tcPr>
            <w:tcW w:w="2967" w:type="dxa"/>
            <w:noWrap w:val="0"/>
            <w:vAlign w:val="top"/>
          </w:tcPr>
          <w:p w14:paraId="3CA17DD0">
            <w:pPr>
              <w:spacing w:line="592"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免租金额（元）</w:t>
            </w:r>
          </w:p>
        </w:tc>
      </w:tr>
      <w:tr w14:paraId="79C8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59D836AF">
            <w:pPr>
              <w:spacing w:line="592" w:lineRule="exact"/>
              <w:ind w:firstLine="1400" w:firstLineChars="500"/>
              <w:rPr>
                <w:rFonts w:ascii="仿宋" w:hAnsi="仿宋" w:eastAsia="仿宋"/>
                <w:sz w:val="28"/>
                <w:szCs w:val="28"/>
                <w:highlight w:val="none"/>
              </w:rPr>
            </w:pPr>
            <w:r>
              <w:rPr>
                <w:rFonts w:hint="eastAsia" w:ascii="仿宋" w:hAnsi="仿宋" w:eastAsia="仿宋"/>
                <w:sz w:val="28"/>
                <w:szCs w:val="28"/>
                <w:highlight w:val="none"/>
              </w:rPr>
              <w:t>年  月  日至   年 月 日</w:t>
            </w:r>
          </w:p>
        </w:tc>
        <w:tc>
          <w:tcPr>
            <w:tcW w:w="2967" w:type="dxa"/>
            <w:noWrap w:val="0"/>
            <w:vAlign w:val="top"/>
          </w:tcPr>
          <w:p w14:paraId="6F857179">
            <w:pPr>
              <w:spacing w:line="592" w:lineRule="exact"/>
              <w:jc w:val="center"/>
              <w:rPr>
                <w:rFonts w:ascii="仿宋" w:hAnsi="仿宋" w:eastAsia="仿宋"/>
                <w:sz w:val="28"/>
                <w:szCs w:val="28"/>
                <w:highlight w:val="none"/>
              </w:rPr>
            </w:pPr>
          </w:p>
        </w:tc>
      </w:tr>
      <w:tr w14:paraId="7A86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2759E039">
            <w:pPr>
              <w:spacing w:line="592" w:lineRule="exact"/>
              <w:ind w:firstLine="1400" w:firstLineChars="500"/>
              <w:rPr>
                <w:rFonts w:ascii="仿宋" w:hAnsi="仿宋" w:eastAsia="仿宋"/>
                <w:sz w:val="28"/>
                <w:szCs w:val="28"/>
                <w:highlight w:val="none"/>
              </w:rPr>
            </w:pPr>
            <w:r>
              <w:rPr>
                <w:rFonts w:hint="eastAsia" w:ascii="仿宋" w:hAnsi="仿宋" w:eastAsia="仿宋"/>
                <w:sz w:val="28"/>
                <w:szCs w:val="28"/>
                <w:highlight w:val="none"/>
              </w:rPr>
              <w:t>年  月  日至   年 月 日</w:t>
            </w:r>
          </w:p>
        </w:tc>
        <w:tc>
          <w:tcPr>
            <w:tcW w:w="2967" w:type="dxa"/>
            <w:noWrap w:val="0"/>
            <w:vAlign w:val="top"/>
          </w:tcPr>
          <w:p w14:paraId="329A8A11">
            <w:pPr>
              <w:spacing w:line="592" w:lineRule="exact"/>
              <w:jc w:val="center"/>
              <w:rPr>
                <w:rFonts w:ascii="仿宋" w:hAnsi="仿宋" w:eastAsia="仿宋"/>
                <w:sz w:val="28"/>
                <w:szCs w:val="28"/>
                <w:highlight w:val="none"/>
              </w:rPr>
            </w:pPr>
          </w:p>
        </w:tc>
      </w:tr>
      <w:tr w14:paraId="1A83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7E8FBD04">
            <w:pPr>
              <w:spacing w:line="592" w:lineRule="exact"/>
              <w:jc w:val="center"/>
              <w:rPr>
                <w:rFonts w:ascii="仿宋" w:hAnsi="仿宋" w:eastAsia="仿宋"/>
                <w:sz w:val="28"/>
                <w:szCs w:val="28"/>
                <w:highlight w:val="none"/>
              </w:rPr>
            </w:pPr>
            <w:r>
              <w:rPr>
                <w:rFonts w:hint="eastAsia" w:ascii="仿宋" w:hAnsi="仿宋" w:eastAsia="仿宋"/>
                <w:sz w:val="28"/>
                <w:szCs w:val="28"/>
                <w:highlight w:val="none"/>
              </w:rPr>
              <w:t xml:space="preserve">     年  月  日至   年 月 日</w:t>
            </w:r>
          </w:p>
        </w:tc>
        <w:tc>
          <w:tcPr>
            <w:tcW w:w="2967" w:type="dxa"/>
            <w:noWrap w:val="0"/>
            <w:vAlign w:val="top"/>
          </w:tcPr>
          <w:p w14:paraId="2AD91FFA">
            <w:pPr>
              <w:spacing w:line="592" w:lineRule="exact"/>
              <w:jc w:val="center"/>
              <w:rPr>
                <w:rFonts w:ascii="仿宋" w:hAnsi="仿宋" w:eastAsia="仿宋"/>
                <w:sz w:val="28"/>
                <w:szCs w:val="28"/>
                <w:highlight w:val="none"/>
              </w:rPr>
            </w:pPr>
          </w:p>
        </w:tc>
      </w:tr>
      <w:tr w14:paraId="2A62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5" w:type="dxa"/>
            <w:noWrap w:val="0"/>
            <w:vAlign w:val="top"/>
          </w:tcPr>
          <w:p w14:paraId="6EF18757">
            <w:pPr>
              <w:spacing w:line="592" w:lineRule="exact"/>
              <w:jc w:val="center"/>
              <w:rPr>
                <w:rFonts w:hint="eastAsia" w:ascii="仿宋" w:hAnsi="仿宋" w:eastAsia="仿宋"/>
                <w:sz w:val="28"/>
                <w:szCs w:val="28"/>
                <w:highlight w:val="none"/>
              </w:rPr>
            </w:pPr>
            <w:r>
              <w:rPr>
                <w:rFonts w:hint="eastAsia" w:ascii="仿宋" w:hAnsi="仿宋" w:eastAsia="仿宋"/>
                <w:sz w:val="28"/>
                <w:szCs w:val="28"/>
                <w:highlight w:val="none"/>
              </w:rPr>
              <w:t xml:space="preserve">     年  月  日至   年 月 日</w:t>
            </w:r>
          </w:p>
        </w:tc>
        <w:tc>
          <w:tcPr>
            <w:tcW w:w="2967" w:type="dxa"/>
            <w:noWrap w:val="0"/>
            <w:vAlign w:val="top"/>
          </w:tcPr>
          <w:p w14:paraId="37C0205D">
            <w:pPr>
              <w:spacing w:line="592" w:lineRule="exact"/>
              <w:jc w:val="center"/>
              <w:rPr>
                <w:rFonts w:ascii="仿宋" w:hAnsi="仿宋" w:eastAsia="仿宋"/>
                <w:sz w:val="28"/>
                <w:szCs w:val="28"/>
                <w:highlight w:val="none"/>
              </w:rPr>
            </w:pPr>
          </w:p>
        </w:tc>
      </w:tr>
    </w:tbl>
    <w:p w14:paraId="1CA329BA">
      <w:pPr>
        <w:spacing w:line="592" w:lineRule="exact"/>
        <w:ind w:firstLine="471"/>
        <w:rPr>
          <w:rFonts w:hint="eastAsia" w:ascii="仿宋" w:hAnsi="仿宋" w:eastAsia="仿宋" w:cs="仿宋"/>
          <w:sz w:val="28"/>
          <w:szCs w:val="28"/>
          <w:highlight w:val="none"/>
        </w:rPr>
      </w:pPr>
      <w:r>
        <w:rPr>
          <w:rFonts w:hint="eastAsia" w:ascii="仿宋" w:hAnsi="仿宋" w:eastAsia="仿宋" w:cs="仿宋"/>
          <w:b/>
          <w:bCs/>
          <w:sz w:val="28"/>
          <w:szCs w:val="28"/>
          <w:highlight w:val="none"/>
        </w:rPr>
        <w:t>第三条 履约保证金</w:t>
      </w:r>
      <w:r>
        <w:rPr>
          <w:rFonts w:hint="eastAsia" w:ascii="仿宋" w:hAnsi="仿宋" w:eastAsia="仿宋" w:cs="仿宋"/>
          <w:sz w:val="28"/>
          <w:szCs w:val="28"/>
          <w:highlight w:val="none"/>
        </w:rPr>
        <w:t xml:space="preserve">  </w:t>
      </w:r>
    </w:p>
    <w:p w14:paraId="3A2823B0">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房屋履约保证金为人民币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rPr>
        <w:t>），乙方应在《成交确认书》或《中标通知书》出具之日起</w:t>
      </w:r>
      <w:r>
        <w:rPr>
          <w:rFonts w:hint="eastAsia" w:ascii="仿宋" w:hAnsi="仿宋" w:eastAsia="仿宋" w:cs="仿宋"/>
          <w:sz w:val="28"/>
          <w:szCs w:val="28"/>
          <w:highlight w:val="none"/>
          <w:u w:val="single"/>
        </w:rPr>
        <w:t xml:space="preserve"> 10 </w:t>
      </w:r>
      <w:r>
        <w:rPr>
          <w:rFonts w:hint="eastAsia" w:ascii="仿宋" w:hAnsi="仿宋" w:eastAsia="仿宋" w:cs="仿宋"/>
          <w:sz w:val="28"/>
          <w:szCs w:val="28"/>
          <w:highlight w:val="none"/>
        </w:rPr>
        <w:t>日内将履约保证金交付至甲方指定的如下账户：</w:t>
      </w:r>
    </w:p>
    <w:p w14:paraId="0E8E042F">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户  名：</w:t>
      </w:r>
      <w:r>
        <w:rPr>
          <w:rFonts w:hint="eastAsia" w:ascii="仿宋" w:hAnsi="仿宋" w:eastAsia="仿宋" w:cs="仿宋"/>
          <w:sz w:val="28"/>
          <w:szCs w:val="28"/>
          <w:highlight w:val="none"/>
          <w:u w:val="single"/>
        </w:rPr>
        <w:t xml:space="preserve">                                </w:t>
      </w:r>
    </w:p>
    <w:p w14:paraId="4A1609D0">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账  号：</w:t>
      </w:r>
      <w:r>
        <w:rPr>
          <w:rFonts w:hint="eastAsia" w:ascii="仿宋" w:hAnsi="仿宋" w:eastAsia="仿宋" w:cs="仿宋"/>
          <w:sz w:val="28"/>
          <w:szCs w:val="28"/>
          <w:highlight w:val="none"/>
          <w:u w:val="single"/>
        </w:rPr>
        <w:t xml:space="preserve">                                </w:t>
      </w:r>
    </w:p>
    <w:p w14:paraId="3F813072">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开户行：</w:t>
      </w:r>
      <w:r>
        <w:rPr>
          <w:rFonts w:hint="eastAsia" w:ascii="仿宋" w:hAnsi="仿宋" w:eastAsia="仿宋" w:cs="仿宋"/>
          <w:sz w:val="28"/>
          <w:szCs w:val="28"/>
          <w:highlight w:val="none"/>
          <w:u w:val="single"/>
        </w:rPr>
        <w:t xml:space="preserve">                                </w:t>
      </w:r>
    </w:p>
    <w:p w14:paraId="69ED370A">
      <w:pPr>
        <w:pStyle w:val="2"/>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自移交之日起1年完成酒店正式开业（以取得消防开业检查合格证明为准）的，经乙方申请，甲方向乙方无息退还六个月租金总额的保证金，计人民币________元（¥________）。</w:t>
      </w:r>
    </w:p>
    <w:p w14:paraId="4CC706CD">
      <w:pPr>
        <w:spacing w:line="592" w:lineRule="exact"/>
        <w:ind w:firstLine="471"/>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如乙方承租期间无违约情况发生，剩余保证金在租赁期满后退还乙方（不计息）；如乙方发生本合同第十条第四款的违约行为，则甲方有权不予退还履约保证金。</w:t>
      </w:r>
    </w:p>
    <w:p w14:paraId="60385EC6">
      <w:pPr>
        <w:spacing w:line="592" w:lineRule="exact"/>
        <w:ind w:firstLine="610" w:firstLineChars="218"/>
        <w:rPr>
          <w:rFonts w:ascii="仿宋" w:hAnsi="仿宋" w:eastAsia="仿宋"/>
          <w:sz w:val="28"/>
          <w:szCs w:val="28"/>
          <w:highlight w:val="none"/>
        </w:rPr>
      </w:pPr>
      <w:r>
        <w:rPr>
          <w:rFonts w:hint="eastAsia" w:ascii="仿宋" w:hAnsi="仿宋" w:eastAsia="仿宋"/>
          <w:sz w:val="28"/>
          <w:szCs w:val="28"/>
          <w:highlight w:val="none"/>
        </w:rPr>
        <w:t>合同期满或合同解除后，乙方应及时支付承租期间应承担的租金、违约金、水费、电费、燃气费、物业费等款项，否则甲方将暂不予退还履约保证金直至乙方支付完毕上述款项</w:t>
      </w:r>
      <w:r>
        <w:rPr>
          <w:rFonts w:hint="eastAsia" w:ascii="仿宋" w:hAnsi="仿宋" w:eastAsia="仿宋"/>
          <w:b/>
          <w:sz w:val="28"/>
          <w:szCs w:val="28"/>
          <w:highlight w:val="none"/>
        </w:rPr>
        <w:t>(以乙方向甲方提交费用交纳/结清证明为依据)</w:t>
      </w:r>
      <w:r>
        <w:rPr>
          <w:rFonts w:hint="eastAsia" w:ascii="仿宋" w:hAnsi="仿宋" w:eastAsia="仿宋"/>
          <w:sz w:val="28"/>
          <w:szCs w:val="28"/>
          <w:highlight w:val="none"/>
        </w:rPr>
        <w:t>。若乙方未支付上述费用的，甲方有权从乙方支付的履约保证金中扣除上述欠付款项，并有权就不足部分向乙方追偿。</w:t>
      </w:r>
    </w:p>
    <w:p w14:paraId="1E458EBA">
      <w:pPr>
        <w:spacing w:line="592" w:lineRule="exact"/>
        <w:ind w:firstLine="610" w:firstLineChars="218"/>
        <w:rPr>
          <w:rFonts w:ascii="仿宋" w:hAnsi="仿宋" w:eastAsia="仿宋"/>
          <w:sz w:val="28"/>
          <w:szCs w:val="28"/>
          <w:highlight w:val="none"/>
        </w:rPr>
      </w:pPr>
      <w:r>
        <w:rPr>
          <w:rFonts w:hint="eastAsia" w:ascii="仿宋" w:hAnsi="仿宋" w:eastAsia="仿宋"/>
          <w:sz w:val="28"/>
          <w:szCs w:val="28"/>
          <w:highlight w:val="none"/>
        </w:rPr>
        <w:t>上述情形下，若履约保证金仍有剩余，乙方有权向甲方申请退还，但申请退还时应提交履约保证金收据原件或履约保证金支付凭证，否则甲方有权拒绝办理退还手续。</w:t>
      </w:r>
    </w:p>
    <w:p w14:paraId="5F70C073">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第四条 房屋租金、物业费、交纳方式、交纳时间</w:t>
      </w:r>
    </w:p>
    <w:p w14:paraId="39668C52">
      <w:pPr>
        <w:spacing w:line="592"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1、租金：</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日期间，租金为人民币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/年（¥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）（含税）。自第6、第9、和第12租约年开始，年租金在上一年年租金总额的基础上递增</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%。具体租赁期间自甲方实际交付租赁房屋之日起算，租金价格详见附件四。</w:t>
      </w:r>
    </w:p>
    <w:p w14:paraId="5BFE95E9">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2、物业费：租赁期限内收费标准为人民币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（含税）</w:t>
      </w:r>
      <w:r>
        <w:rPr>
          <w:rFonts w:hint="eastAsia" w:ascii="仿宋" w:hAnsi="仿宋" w:eastAsia="仿宋" w:cs="仿宋"/>
          <w:sz w:val="28"/>
          <w:szCs w:val="28"/>
          <w:highlight w:val="none"/>
        </w:rPr>
        <w:t>。</w:t>
      </w:r>
    </w:p>
    <w:p w14:paraId="6784CF60">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3、乙方将租金及物业费支付至甲方指定的如下账号: </w:t>
      </w:r>
    </w:p>
    <w:p w14:paraId="3FE08CAF">
      <w:pPr>
        <w:spacing w:line="592" w:lineRule="exact"/>
        <w:ind w:firstLine="471"/>
        <w:rPr>
          <w:rFonts w:ascii="仿宋" w:hAnsi="仿宋" w:eastAsia="仿宋" w:cs="仿宋"/>
          <w:sz w:val="28"/>
          <w:szCs w:val="28"/>
          <w:highlight w:val="none"/>
        </w:rPr>
      </w:pPr>
      <w:r>
        <w:rPr>
          <w:rFonts w:hint="eastAsia" w:ascii="仿宋" w:hAnsi="仿宋" w:eastAsia="仿宋" w:cs="仿宋"/>
          <w:sz w:val="28"/>
          <w:szCs w:val="28"/>
          <w:highlight w:val="none"/>
        </w:rPr>
        <w:t>户  名：</w:t>
      </w:r>
      <w:r>
        <w:rPr>
          <w:rFonts w:hint="eastAsia" w:ascii="仿宋" w:hAnsi="仿宋" w:eastAsia="仿宋" w:cs="仿宋"/>
          <w:sz w:val="28"/>
          <w:szCs w:val="28"/>
          <w:highlight w:val="none"/>
          <w:u w:val="single"/>
        </w:rPr>
        <w:t xml:space="preserve">                               </w:t>
      </w:r>
    </w:p>
    <w:p w14:paraId="3E2E7C2D">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账  号：</w:t>
      </w:r>
      <w:r>
        <w:rPr>
          <w:rFonts w:hint="eastAsia" w:ascii="仿宋" w:hAnsi="仿宋" w:eastAsia="仿宋" w:cs="仿宋"/>
          <w:sz w:val="28"/>
          <w:szCs w:val="28"/>
          <w:highlight w:val="none"/>
          <w:u w:val="single"/>
        </w:rPr>
        <w:t xml:space="preserve">                               </w:t>
      </w:r>
    </w:p>
    <w:p w14:paraId="67F7B8E9">
      <w:pPr>
        <w:spacing w:line="592" w:lineRule="exact"/>
        <w:ind w:firstLine="471"/>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开户行：</w:t>
      </w:r>
      <w:r>
        <w:rPr>
          <w:rFonts w:hint="eastAsia" w:ascii="仿宋" w:hAnsi="仿宋" w:eastAsia="仿宋" w:cs="仿宋"/>
          <w:sz w:val="28"/>
          <w:szCs w:val="28"/>
          <w:highlight w:val="none"/>
          <w:u w:val="single"/>
        </w:rPr>
        <w:t xml:space="preserve">                               </w:t>
      </w:r>
    </w:p>
    <w:p w14:paraId="225F285A">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合同期内如甲方变更收款账号，应及时将变更后的账号通知乙</w:t>
      </w:r>
    </w:p>
    <w:p w14:paraId="468D65A7">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方。</w:t>
      </w:r>
    </w:p>
    <w:p w14:paraId="358C1410">
      <w:pPr>
        <w:topLinePunct/>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4、租金及物业费每三个月支付一次，每三个月为一期，乙方须在合同签订之日起5个工作日内向甲方支付首期租金及物业费人民币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），以后每期租金及物业费应在上一期结束前向甲方支付。</w:t>
      </w:r>
    </w:p>
    <w:p w14:paraId="682149F0">
      <w:pPr>
        <w:spacing w:line="592" w:lineRule="exact"/>
        <w:ind w:firstLine="471"/>
        <w:rPr>
          <w:rFonts w:ascii="仿宋" w:hAnsi="仿宋" w:eastAsia="仿宋"/>
          <w:b/>
          <w:sz w:val="28"/>
          <w:szCs w:val="28"/>
          <w:highlight w:val="none"/>
        </w:rPr>
      </w:pPr>
      <w:r>
        <w:rPr>
          <w:rFonts w:hint="eastAsia" w:ascii="仿宋" w:hAnsi="仿宋" w:eastAsia="仿宋"/>
          <w:b/>
          <w:sz w:val="28"/>
          <w:szCs w:val="28"/>
          <w:highlight w:val="none"/>
        </w:rPr>
        <w:t>第五条 房屋交付</w:t>
      </w:r>
    </w:p>
    <w:p w14:paraId="2889BB05">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1、甲方应于房屋具备装修条件后（以甲方出具交房通知书为准），将租赁房屋交付给乙方。</w:t>
      </w:r>
      <w:r>
        <w:rPr>
          <w:rFonts w:hint="eastAsia" w:ascii="仿宋" w:hAnsi="仿宋" w:eastAsia="仿宋" w:cs="仿宋"/>
          <w:b/>
          <w:sz w:val="28"/>
          <w:szCs w:val="28"/>
          <w:highlight w:val="none"/>
          <w:u w:val="single"/>
        </w:rPr>
        <w:t>乙方未及时付清应付款项的，甲方有权拒绝交付房屋且不承担违约责任，实际租赁期不进行顺延（视为甲方已交付，租赁期间自房屋具备交付条件</w:t>
      </w:r>
      <w:r>
        <w:rPr>
          <w:rFonts w:hint="eastAsia" w:ascii="仿宋" w:hAnsi="仿宋" w:eastAsia="仿宋" w:cs="仿宋"/>
          <w:sz w:val="28"/>
          <w:szCs w:val="28"/>
          <w:highlight w:val="none"/>
          <w:u w:val="single"/>
        </w:rPr>
        <w:t>（以甲方出具交房通知书为准）</w:t>
      </w:r>
      <w:r>
        <w:rPr>
          <w:rFonts w:hint="eastAsia" w:ascii="仿宋" w:hAnsi="仿宋" w:eastAsia="仿宋" w:cs="仿宋"/>
          <w:b/>
          <w:sz w:val="28"/>
          <w:szCs w:val="28"/>
          <w:highlight w:val="none"/>
        </w:rPr>
        <w:t>之</w:t>
      </w:r>
      <w:r>
        <w:rPr>
          <w:rFonts w:hint="eastAsia" w:ascii="仿宋" w:hAnsi="仿宋" w:eastAsia="仿宋" w:cs="仿宋"/>
          <w:b/>
          <w:sz w:val="28"/>
          <w:szCs w:val="28"/>
          <w:highlight w:val="none"/>
          <w:u w:val="single"/>
        </w:rPr>
        <w:t>日起第10个工作日起算），乙方仍需按本合同约定的租赁期向甲方支付租金及物业费。</w:t>
      </w:r>
    </w:p>
    <w:p w14:paraId="71E8165A">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2、因甲方原因推迟交房，则租赁期间进行等长时段的顺延，实际租赁时间保持不变。</w:t>
      </w:r>
    </w:p>
    <w:p w14:paraId="76616ACC">
      <w:pPr>
        <w:spacing w:line="592" w:lineRule="exact"/>
        <w:ind w:firstLine="471"/>
        <w:rPr>
          <w:rFonts w:hint="eastAsia" w:ascii="仿宋" w:hAnsi="仿宋" w:eastAsia="仿宋" w:cs="仿宋"/>
          <w:b/>
          <w:sz w:val="28"/>
          <w:szCs w:val="28"/>
          <w:highlight w:val="none"/>
          <w:u w:val="single"/>
        </w:rPr>
      </w:pPr>
      <w:r>
        <w:rPr>
          <w:rFonts w:hint="eastAsia" w:ascii="仿宋" w:hAnsi="仿宋" w:eastAsia="仿宋" w:cs="仿宋"/>
          <w:sz w:val="28"/>
          <w:szCs w:val="28"/>
          <w:highlight w:val="none"/>
        </w:rPr>
        <w:t>3、</w:t>
      </w:r>
      <w:r>
        <w:rPr>
          <w:rFonts w:hint="eastAsia" w:ascii="仿宋" w:hAnsi="仿宋" w:eastAsia="仿宋" w:cs="仿宋"/>
          <w:b/>
          <w:sz w:val="28"/>
          <w:szCs w:val="28"/>
          <w:highlight w:val="none"/>
          <w:u w:val="single"/>
        </w:rPr>
        <w:t>乙方在接收房屋时应对房屋及附属设施设备进行全面查验，若发现房屋或附属设施设备存在质量或安全问题,应当于查验之日起3个工作日内书面向甲方提出问题要求甲方整改并有权拒绝接收房屋。乙方未在规定时间内书面提出问题的，视为甲方交付的房屋符合法律规定和合同约定。</w:t>
      </w:r>
    </w:p>
    <w:p w14:paraId="3E13C7F1">
      <w:pPr>
        <w:spacing w:line="592" w:lineRule="exact"/>
        <w:ind w:firstLine="471"/>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u w:val="single"/>
        </w:rPr>
        <w:t>经查验无问题的，双方在《房屋使用移交表》（附件一）上交验签字，甲方完成房屋交付义务。</w:t>
      </w:r>
    </w:p>
    <w:p w14:paraId="00164330">
      <w:pPr>
        <w:spacing w:line="592" w:lineRule="exact"/>
        <w:ind w:firstLine="610" w:firstLineChars="218"/>
        <w:rPr>
          <w:rFonts w:hint="eastAsia" w:ascii="仿宋" w:hAnsi="仿宋" w:eastAsia="仿宋" w:cs="仿宋"/>
          <w:sz w:val="28"/>
          <w:szCs w:val="28"/>
          <w:highlight w:val="none"/>
        </w:rPr>
      </w:pPr>
      <w:r>
        <w:rPr>
          <w:rFonts w:hint="eastAsia" w:ascii="仿宋" w:hAnsi="仿宋" w:eastAsia="仿宋" w:cs="仿宋"/>
          <w:sz w:val="28"/>
          <w:szCs w:val="28"/>
          <w:highlight w:val="none"/>
        </w:rPr>
        <w:t>若乙方未行使查验房屋的权利直接在《房屋使用移交表》上签字的，视为房屋和附属设施设备符合正常使用要求，甲方交房义务履行完毕。</w:t>
      </w:r>
    </w:p>
    <w:p w14:paraId="7BA3D74D">
      <w:pPr>
        <w:spacing w:line="592"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第六条 房屋收回</w:t>
      </w:r>
    </w:p>
    <w:p w14:paraId="1F72E8B6">
      <w:pPr>
        <w:spacing w:line="592"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租赁期满或租赁合同解除后，乙方需在5个自然日内将其未形成附合的装饰装修物、可移动的设施、设备、货品及其他自有财产撤离房屋，逾期未按约归还房屋的，甲方有权直接收回房屋，不予返还履约保证金。对于乙方在租赁期间经甲方书面同意后所进行的已形成附合装修、装饰、增设设施（以下简称“添附物”），甲方不要求拆除的，该添附物无偿归甲方所有，乙方不再承担任何拆除或恢复义务，但也不得以该添附物存在为由，向乙方主张任何费用或赔偿。</w:t>
      </w:r>
    </w:p>
    <w:p w14:paraId="282B8272">
      <w:pPr>
        <w:spacing w:line="592"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2、乙方返还的房屋，应处于正常使用的状态（合理损耗除外）。乙方应结清所有应由其承担的费用（如水、电、物业费等）。前述“正常使用磨损损耗”不包括乙方故意损坏或因乙方重大过失造成的损坏。</w:t>
      </w:r>
    </w:p>
    <w:p w14:paraId="2FC83597">
      <w:pPr>
        <w:pStyle w:val="2"/>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对于该房屋内乙方未经甲方同意遗留的物品，甲方有权要求乙方在指定期限内自行清空。若乙方逾期未完成清空，则甲方有权扣除履约保证金，以弥补因此产生的损失及管理成本，且无需对遗留物品承担任何保管或赔偿责任。甲方有权在前述情形下，对前述遗留物品自行处置，因物品遗留产生的占用损失、处置物品发生的费用和给甲方造成的损失等，甲方有权在处置物品的款项中扣除，不足部分有权向乙方追偿。</w:t>
      </w:r>
    </w:p>
    <w:p w14:paraId="7EFF3B3B">
      <w:pPr>
        <w:spacing w:line="592" w:lineRule="exact"/>
        <w:ind w:firstLine="471"/>
        <w:rPr>
          <w:rFonts w:ascii="仿宋" w:hAnsi="仿宋" w:eastAsia="仿宋"/>
          <w:sz w:val="28"/>
          <w:szCs w:val="28"/>
          <w:highlight w:val="none"/>
        </w:rPr>
      </w:pPr>
      <w:r>
        <w:rPr>
          <w:rFonts w:hint="eastAsia" w:ascii="仿宋" w:hAnsi="仿宋" w:eastAsia="仿宋"/>
          <w:sz w:val="28"/>
          <w:szCs w:val="28"/>
          <w:highlight w:val="none"/>
        </w:rPr>
        <w:t>4、甲乙双方现场验收交接后在《到期(退租）房产收回表》（附件二）上签字视为甲方收回房屋。</w:t>
      </w:r>
    </w:p>
    <w:p w14:paraId="1F29BE0A">
      <w:pPr>
        <w:spacing w:line="592" w:lineRule="exact"/>
        <w:ind w:firstLine="471"/>
        <w:rPr>
          <w:rFonts w:ascii="仿宋" w:hAnsi="仿宋" w:eastAsia="仿宋"/>
          <w:b/>
          <w:sz w:val="28"/>
          <w:szCs w:val="28"/>
          <w:highlight w:val="none"/>
        </w:rPr>
      </w:pPr>
      <w:r>
        <w:rPr>
          <w:rFonts w:hint="eastAsia" w:ascii="仿宋" w:hAnsi="仿宋" w:eastAsia="仿宋"/>
          <w:b/>
          <w:sz w:val="28"/>
          <w:szCs w:val="28"/>
          <w:highlight w:val="none"/>
        </w:rPr>
        <w:t>第七条 装修改造</w:t>
      </w:r>
    </w:p>
    <w:p w14:paraId="1DB2376A">
      <w:pPr>
        <w:spacing w:line="592" w:lineRule="exact"/>
        <w:ind w:firstLine="471"/>
        <w:rPr>
          <w:rFonts w:ascii="仿宋" w:hAnsi="仿宋" w:eastAsia="仿宋"/>
          <w:sz w:val="28"/>
          <w:szCs w:val="28"/>
          <w:highlight w:val="none"/>
        </w:rPr>
      </w:pPr>
      <w:r>
        <w:rPr>
          <w:rFonts w:hint="eastAsia" w:ascii="仿宋" w:hAnsi="仿宋" w:eastAsia="仿宋"/>
          <w:sz w:val="28"/>
          <w:szCs w:val="28"/>
          <w:highlight w:val="none"/>
        </w:rPr>
        <w:t xml:space="preserve">1、房屋租赁期间，乙方因经营需要对租赁房屋进行装饰装修的，所需全部费用由乙方承担；房屋进行装饰装修前必须以书面形式征得甲方同意，乙方装修中应确保不会破坏房屋主体结构并不得破坏或改变甲方与相邻产权人的产权界限，否则所造成的损失和引起的纠纷责任全部由乙方承担；甲方有权监督装饰装修施工过程，并有权提出必要的整改意见。 </w:t>
      </w:r>
    </w:p>
    <w:p w14:paraId="7F2C8D8B">
      <w:pPr>
        <w:spacing w:line="592" w:lineRule="exact"/>
        <w:ind w:firstLine="471"/>
        <w:rPr>
          <w:rFonts w:ascii="仿宋" w:hAnsi="仿宋" w:eastAsia="仿宋"/>
          <w:sz w:val="28"/>
          <w:szCs w:val="28"/>
          <w:highlight w:val="none"/>
        </w:rPr>
      </w:pPr>
      <w:r>
        <w:rPr>
          <w:rFonts w:hint="eastAsia" w:ascii="仿宋" w:hAnsi="仿宋" w:eastAsia="仿宋"/>
          <w:sz w:val="28"/>
          <w:szCs w:val="28"/>
          <w:highlight w:val="none"/>
        </w:rPr>
        <w:t>2、如乙方因经营需要对</w:t>
      </w:r>
      <w:r>
        <w:rPr>
          <w:rFonts w:hint="eastAsia" w:ascii="仿宋" w:hAnsi="仿宋" w:eastAsia="仿宋"/>
          <w:b/>
          <w:sz w:val="28"/>
          <w:szCs w:val="28"/>
          <w:highlight w:val="none"/>
        </w:rPr>
        <w:t>安全、消防、水、电、通讯及供电等基础设施设备进行改造或升级的，须事先征得甲方同意方可进行，改造升级的施工由乙方负责，所需各项费用均由乙方承担；改造升级后的设施应在租赁结束后完好无偿地移交给甲方</w:t>
      </w:r>
      <w:r>
        <w:rPr>
          <w:rFonts w:hint="eastAsia" w:ascii="仿宋" w:hAnsi="仿宋" w:eastAsia="仿宋"/>
          <w:sz w:val="28"/>
          <w:szCs w:val="28"/>
          <w:highlight w:val="none"/>
        </w:rPr>
        <w:t>。</w:t>
      </w:r>
    </w:p>
    <w:p w14:paraId="3A2F5520">
      <w:pPr>
        <w:spacing w:line="592" w:lineRule="exact"/>
        <w:ind w:firstLine="471"/>
        <w:rPr>
          <w:rFonts w:hint="eastAsia" w:ascii="仿宋" w:hAnsi="仿宋" w:eastAsia="仿宋" w:cs="仿宋"/>
          <w:sz w:val="28"/>
          <w:szCs w:val="28"/>
          <w:highlight w:val="none"/>
        </w:rPr>
      </w:pPr>
      <w:r>
        <w:rPr>
          <w:rFonts w:hint="eastAsia" w:ascii="仿宋" w:hAnsi="仿宋" w:eastAsia="仿宋" w:cs="仿宋"/>
          <w:sz w:val="28"/>
          <w:szCs w:val="28"/>
          <w:highlight w:val="none"/>
        </w:rPr>
        <w:t>3、在房屋装饰装修及设施设备改造过程中，乙方必须加强施工现场管理，施工过程中造成的安全事故责任及损失由乙方承担，甲方对乙方进行房屋装饰装修或设施设备改造施工中造成的安全事故及损失不承担任何责任。</w:t>
      </w:r>
    </w:p>
    <w:p w14:paraId="6E47DCF5">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第八条 甲方的权利义务</w:t>
      </w:r>
    </w:p>
    <w:p w14:paraId="3AA98F8C">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1、甲方按期向乙方收取房屋租金及物业费并出具收款票据，其中租金发票由房屋产权方开具。</w:t>
      </w:r>
    </w:p>
    <w:p w14:paraId="0BAFECC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2、除</w:t>
      </w:r>
      <w:r>
        <w:rPr>
          <w:rFonts w:hint="eastAsia" w:ascii="仿宋" w:hAnsi="仿宋" w:eastAsia="仿宋"/>
          <w:sz w:val="28"/>
          <w:szCs w:val="28"/>
          <w:highlight w:val="none"/>
        </w:rPr>
        <w:t>招商公告</w:t>
      </w:r>
      <w:r>
        <w:rPr>
          <w:rFonts w:hint="eastAsia" w:ascii="仿宋" w:hAnsi="仿宋" w:eastAsia="仿宋" w:cs="仿宋"/>
          <w:sz w:val="28"/>
          <w:szCs w:val="28"/>
          <w:highlight w:val="none"/>
        </w:rPr>
        <w:t>另有说明外，甲方应为乙方提供办理营业执照所需的租赁证明等相关材料。</w:t>
      </w:r>
    </w:p>
    <w:p w14:paraId="2ED8EB46">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3、甲方负责水泵房、消防水泵房及消防主管道、电梯、配电房、空调机房及空调主管道设备设施的日常维护、管理运营。</w:t>
      </w:r>
    </w:p>
    <w:p w14:paraId="57C4A30D">
      <w:pPr>
        <w:spacing w:line="592"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4、甲方按现状向乙方提供本项目现有的附属设施设备（包括但不限于用电设施、用水设施、门窗、燃气设施、中央空调等）供乙方使用。乙方按约定对物业共用部位及共用设施设备（含水电主管线、一消主管道）承担日常运行维护管理职责。因乙方装修或改造导致原物业负责维保的部位或设施损坏，由乙方负责维修。如因设施本身固有缺陷或自然老化导致事故，由甲方承担相应责任。</w:t>
      </w:r>
    </w:p>
    <w:p w14:paraId="2EEB9C12">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5、在租赁期限内，甲方如以出售方式全部或部分变更租赁房屋的产权，应提前三十日通知乙方。</w:t>
      </w:r>
    </w:p>
    <w:p w14:paraId="4CC4633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6、甲方应保证租赁房屋无产权纠纷，如有纠纷，由甲方负责处理并承担相关责任，如因此给乙方造成损失的，由甲方负责赔偿。</w:t>
      </w:r>
    </w:p>
    <w:p w14:paraId="4433F643">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第九条 乙方的权利义务</w:t>
      </w:r>
    </w:p>
    <w:p w14:paraId="19AEAB3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1、乙方经营项目应符合相关法律法规的要求，并根据主管部门的要求办妥相关环评、消防备案及经营证照等相关手续。</w:t>
      </w:r>
    </w:p>
    <w:p w14:paraId="0D29EE0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2、乙方应按照本合同约定按时支付租金及承担各项费用，租赁期间该房屋产生的水费、电费、卫生费、电话（网络）费、物业管理费、电视收视费、供暖费等各项费用均由乙方自行承担。</w:t>
      </w:r>
    </w:p>
    <w:p w14:paraId="07F1546C">
      <w:pPr>
        <w:spacing w:line="592"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3、除本合同第八条第3款由甲方承担维修责任以外，合同履行期内，房屋内、地下配套停车场及附属设施设备（含门、窗、水、电、消防等设施）日常维修、维护、安全管理、消防安全管理、门前三包等由乙方负责并承担产生的相应费用。若因乙方未尽到前述日常维修、维护、安全管理、消防安全管理、门前三包等义务造成的安全责任事故或甲方、乙方、第三人损失的，责任及损失均由乙方承担。</w:t>
      </w:r>
    </w:p>
    <w:p w14:paraId="3396917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b/>
          <w:bCs/>
          <w:sz w:val="28"/>
          <w:szCs w:val="28"/>
          <w:highlight w:val="none"/>
        </w:rPr>
        <w:t>乙方应按照消防部门要求配备齐全并及时更新消防设施设备，应保证消防通道畅通</w:t>
      </w:r>
      <w:r>
        <w:rPr>
          <w:rFonts w:hint="eastAsia" w:ascii="仿宋" w:hAnsi="仿宋" w:eastAsia="仿宋" w:cs="仿宋"/>
          <w:sz w:val="28"/>
          <w:szCs w:val="28"/>
          <w:highlight w:val="none"/>
        </w:rPr>
        <w:t>。甲方及上级部门对租赁房屋内安全消防设施进行工作检查时，乙方应予以配合，对检查中发现的安全隐患等问题应及时整改。</w:t>
      </w:r>
    </w:p>
    <w:p w14:paraId="2E45AF81">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b/>
          <w:sz w:val="28"/>
          <w:szCs w:val="28"/>
          <w:highlight w:val="none"/>
        </w:rPr>
        <w:t>发生本合同</w:t>
      </w:r>
      <w:r>
        <w:rPr>
          <w:rFonts w:hint="eastAsia" w:ascii="仿宋" w:hAnsi="仿宋" w:eastAsia="仿宋" w:cs="仿宋"/>
          <w:b/>
          <w:bCs/>
          <w:sz w:val="28"/>
          <w:szCs w:val="28"/>
          <w:highlight w:val="none"/>
        </w:rPr>
        <w:t>第八条第3款的</w:t>
      </w:r>
      <w:r>
        <w:rPr>
          <w:rFonts w:hint="eastAsia" w:ascii="仿宋" w:hAnsi="仿宋" w:eastAsia="仿宋" w:cs="仿宋"/>
          <w:sz w:val="28"/>
          <w:szCs w:val="28"/>
          <w:highlight w:val="none"/>
        </w:rPr>
        <w:t>，乙方须书面告知甲方，否则因乙方迟延履行告知义务产生的相关责任和损失由乙方自行承担。</w:t>
      </w:r>
    </w:p>
    <w:p w14:paraId="121D7FE2">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乙方在日常经营时应协调好与其他业主以及物业公司之间的关系，同时应避免损害甲方的权益。</w:t>
      </w:r>
    </w:p>
    <w:p w14:paraId="383D236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6、租赁期内如甲方出售房屋，则同等条件下乙方有优先购买权。</w:t>
      </w:r>
    </w:p>
    <w:p w14:paraId="2FC0E63B">
      <w:pPr>
        <w:spacing w:line="592" w:lineRule="exact"/>
        <w:ind w:firstLine="280" w:firstLineChars="100"/>
        <w:rPr>
          <w:rFonts w:ascii="仿宋" w:hAnsi="仿宋" w:eastAsia="仿宋" w:cs="仿宋"/>
          <w:sz w:val="28"/>
          <w:szCs w:val="28"/>
          <w:highlight w:val="none"/>
        </w:rPr>
      </w:pPr>
      <w:r>
        <w:rPr>
          <w:rFonts w:hint="eastAsia" w:ascii="仿宋" w:hAnsi="仿宋" w:eastAsia="仿宋" w:cs="仿宋"/>
          <w:sz w:val="28"/>
          <w:szCs w:val="28"/>
          <w:highlight w:val="none"/>
        </w:rPr>
        <w:t xml:space="preserve">  7、合同到期前，乙方有意继续承租的，应提前90日申请，并根据政策要求履行租赁程序（包括但不限于参加房屋公开招租竞标等），在同等条件下享有优先承租的权利。乙方放弃优先承租权的，应按本合同相关约定腾空并归还房屋。因乙方原因提前退租或乙方违约甲方提前解除本合同的，乙方不再享有优先承租的权利。</w:t>
      </w:r>
    </w:p>
    <w:p w14:paraId="46EA836B">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第十条 合同的解除</w:t>
      </w:r>
    </w:p>
    <w:p w14:paraId="707E2706">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通过公开租赁竞标的租赁房屋，甲、乙双方必须严格按照项目公告及有关承诺签订合同，不得擅自变更。除因政府出台新的政策或不可抗力因素外，甲、乙双方不得再行订立背离合同实质性内容的其他协议。</w:t>
      </w:r>
    </w:p>
    <w:p w14:paraId="76CDEBA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（二）因乙方原因解除合同以及租赁到期合同终止的，乙方承租期间因经营需要所实施的装饰装修改造部分，甲方不作任何形式的补偿或赔偿。</w:t>
      </w:r>
    </w:p>
    <w:p w14:paraId="63FE26B0">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有下列情形之一的，本合同解除，按乙方实际承租时间结算租金及各项费用，甲乙双方互不承担违约责任，互不进行任何经济补偿或赔偿，甲方对于乙方承租期间的装饰装修部分不予任何形式的补偿或赔偿。如果政府部门、拆迁单位对于房屋的装饰装修部分进行专项经济补偿，补偿款可由乙方所得，乙方若对补偿款有异议，由乙方自行与补偿款项支付方协商，不得以此为由拒绝腾空返还房屋：</w:t>
      </w:r>
    </w:p>
    <w:p w14:paraId="62417CDA">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1、该房屋因城市建设需要或所在地段整体开发需要等被依法列入房屋拆迁范围的。</w:t>
      </w:r>
    </w:p>
    <w:p w14:paraId="3EC432FC">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2、因自然灾害、政府政策调整等不可抗力因素致使房屋毁损、灭失或造成其他相关损失的。</w:t>
      </w:r>
    </w:p>
    <w:p w14:paraId="5FC9F5AB">
      <w:pPr>
        <w:spacing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3、其他不可预见的因素导致合同无法履行的。</w:t>
      </w:r>
    </w:p>
    <w:p w14:paraId="20F42440">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（四）乙方有下列行为之一的，甲方有权单方解除合同、收回房屋，并通知乙方限期腾空搬离，对于乙方承租期间所实施的装饰装修改造部分不予任何形式的补偿或赔偿：</w:t>
      </w:r>
    </w:p>
    <w:p w14:paraId="043A41F6">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1、未经甲方书面同意，擅自将该房屋转租、转让或转借给第三人的；</w:t>
      </w:r>
    </w:p>
    <w:p w14:paraId="40C7B6A1">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2、乙方未在合同约定的付款期限内足额支付任何一期租金、物业管理费或其他应付费用，且该逾期支付行为累计达到3次，或单次逾期支付经甲方催告后仍超过15日未支付的；</w:t>
      </w:r>
    </w:p>
    <w:p w14:paraId="2A729BE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3、欠付租金等各项费用金额累计达人民币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）的；</w:t>
      </w:r>
    </w:p>
    <w:p w14:paraId="6324A20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4、擅自拆改、变动或损坏房屋主体结构的；</w:t>
      </w:r>
    </w:p>
    <w:p w14:paraId="2565F8C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5、未经甲方书面同意擅自拆改、变动或损坏房屋二次结构的；</w:t>
      </w:r>
    </w:p>
    <w:p w14:paraId="06F5A23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6、未经甲方书面同意进行装饰装修的；</w:t>
      </w:r>
    </w:p>
    <w:p w14:paraId="2A929E3C">
      <w:pPr>
        <w:pStyle w:val="2"/>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7、无正当理由拒绝、阻挠或未能配合甲方或政府相关部门进行安全检查；</w:t>
      </w:r>
    </w:p>
    <w:p w14:paraId="6F2E380F">
      <w:pPr>
        <w:pStyle w:val="2"/>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8、对甲方或政府相关部门在安全检查中指出的安全隐患，未在要求期限内完成整改或整改后仍不符合安全要求。</w:t>
      </w:r>
    </w:p>
    <w:p w14:paraId="675CA06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9、利用该房屋从事违法活动的；</w:t>
      </w:r>
    </w:p>
    <w:p w14:paraId="757C3708">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10、利用房屋从事违反地方政府规章、地方性法规、行政指令等所有规范性文件的活动的；</w:t>
      </w:r>
    </w:p>
    <w:p w14:paraId="69E4A56F">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11、因对该处房产的经营或使用不当行为导致甲方被投诉、起诉或陷入其他争议、纠纷的，或有其他损害甲方利益行为的。</w:t>
      </w:r>
    </w:p>
    <w:p w14:paraId="3F142EE9">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第十一条 甲方违约责任</w:t>
      </w:r>
    </w:p>
    <w:p w14:paraId="1A07A246">
      <w:pPr>
        <w:wordWrap w:val="0"/>
        <w:topLinePunct/>
        <w:spacing w:line="592"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1、租赁期内，因甲方单方面原因需提前解除合同的，甲方应提前</w:t>
      </w:r>
      <w:r>
        <w:rPr>
          <w:rFonts w:hint="eastAsia" w:ascii="仿宋" w:hAnsi="仿宋" w:eastAsia="仿宋" w:cs="仿宋"/>
          <w:sz w:val="28"/>
          <w:szCs w:val="28"/>
          <w:highlight w:val="none"/>
          <w:u w:val="single"/>
        </w:rPr>
        <w:t xml:space="preserve"> 60</w:t>
      </w:r>
      <w:r>
        <w:rPr>
          <w:rFonts w:hint="eastAsia" w:ascii="仿宋" w:hAnsi="仿宋" w:eastAsia="仿宋" w:cs="仿宋"/>
          <w:b/>
          <w:sz w:val="28"/>
          <w:szCs w:val="28"/>
          <w:highlight w:val="none"/>
          <w:u w:val="single"/>
        </w:rPr>
        <w:t xml:space="preserve"> </w:t>
      </w:r>
      <w:r>
        <w:rPr>
          <w:rFonts w:hint="eastAsia" w:ascii="仿宋" w:hAnsi="仿宋" w:eastAsia="仿宋" w:cs="仿宋"/>
          <w:sz w:val="28"/>
          <w:szCs w:val="28"/>
          <w:highlight w:val="none"/>
        </w:rPr>
        <w:t>日以书面形式通知乙方，否则须向乙方支付违约金人民币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w:t>
      </w:r>
    </w:p>
    <w:p w14:paraId="2DCA1614">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2、如因该房屋的产权纠纷给乙方造成损失的，甲方应负责评估确定损失金额后给予乙方补偿。</w:t>
      </w:r>
    </w:p>
    <w:p w14:paraId="2AD81BA2">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第十二条 乙方违约责任</w:t>
      </w:r>
    </w:p>
    <w:p w14:paraId="5227B1B6">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1、乙方有本合同第十条第四款第1、2、3、4、5、6、7、8、9、10、11项情形之一的，应向甲方支付违约金人民币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），并另行赔偿甲方因此遭受的所有损失。</w:t>
      </w:r>
    </w:p>
    <w:p w14:paraId="06E75F6F">
      <w:pPr>
        <w:spacing w:line="592" w:lineRule="exact"/>
        <w:ind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w:t>
      </w:r>
      <w:r>
        <w:rPr>
          <w:rFonts w:hint="eastAsia" w:ascii="仿宋" w:hAnsi="仿宋" w:eastAsia="仿宋" w:cs="仿宋"/>
          <w:sz w:val="28"/>
          <w:szCs w:val="28"/>
          <w:highlight w:val="none"/>
        </w:rPr>
        <w:t>未经甲方同意，乙方擅自对该房屋进行装饰装修、改造或在施工中破坏房屋结构、附属设施设备、产权界限的，甲方有权要求乙方赔偿损失，并有权要求乙方恢复原状。</w:t>
      </w:r>
    </w:p>
    <w:p w14:paraId="01DE0802">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3、租赁期内，乙方因经营不善等原因需提前解除合同的，应书面通知甲方，并按如下方法处理：</w:t>
      </w:r>
    </w:p>
    <w:p w14:paraId="7DDC2952">
      <w:pPr>
        <w:spacing w:line="592"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（1）提前</w:t>
      </w:r>
      <w:r>
        <w:rPr>
          <w:rFonts w:hint="eastAsia" w:ascii="仿宋" w:hAnsi="仿宋" w:eastAsia="仿宋" w:cs="仿宋"/>
          <w:sz w:val="28"/>
          <w:szCs w:val="28"/>
          <w:highlight w:val="none"/>
          <w:u w:val="single"/>
        </w:rPr>
        <w:t xml:space="preserve"> 90 </w:t>
      </w:r>
      <w:r>
        <w:rPr>
          <w:rFonts w:hint="eastAsia" w:ascii="仿宋" w:hAnsi="仿宋" w:eastAsia="仿宋" w:cs="仿宋"/>
          <w:sz w:val="28"/>
          <w:szCs w:val="28"/>
          <w:highlight w:val="none"/>
        </w:rPr>
        <w:t>日历天以书面形式通知甲方，且已履行租期达五年及以上的，无需承担违约责任；</w:t>
      </w:r>
    </w:p>
    <w:p w14:paraId="4972AC48">
      <w:pPr>
        <w:topLinePunct/>
        <w:spacing w:line="592"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（2）提前</w:t>
      </w:r>
      <w:r>
        <w:rPr>
          <w:rFonts w:hint="eastAsia" w:ascii="仿宋" w:hAnsi="仿宋" w:eastAsia="仿宋" w:cs="仿宋"/>
          <w:sz w:val="28"/>
          <w:szCs w:val="28"/>
          <w:highlight w:val="none"/>
          <w:u w:val="single"/>
        </w:rPr>
        <w:t xml:space="preserve"> 90 </w:t>
      </w:r>
      <w:r>
        <w:rPr>
          <w:rFonts w:hint="eastAsia" w:ascii="仿宋" w:hAnsi="仿宋" w:eastAsia="仿宋" w:cs="仿宋"/>
          <w:sz w:val="28"/>
          <w:szCs w:val="28"/>
          <w:highlight w:val="none"/>
        </w:rPr>
        <w:t>日历天以书面形式通知甲方，履行租期未达五年的，需向甲方支付违约金</w:t>
      </w:r>
      <w:r>
        <w:rPr>
          <w:rFonts w:hint="eastAsia" w:ascii="仿宋" w:hAnsi="仿宋" w:eastAsia="仿宋" w:cs="仿宋"/>
          <w:sz w:val="28"/>
          <w:szCs w:val="28"/>
          <w:highlight w:val="none"/>
          <w:u w:val="single"/>
        </w:rPr>
        <w:t xml:space="preserve">  </w:t>
      </w:r>
      <w:bookmarkStart w:id="0" w:name="OLE_LINK3"/>
      <w:r>
        <w:rPr>
          <w:rFonts w:hint="eastAsia" w:ascii="仿宋" w:hAnsi="仿宋" w:eastAsia="仿宋" w:cs="仿宋"/>
          <w:sz w:val="28"/>
          <w:szCs w:val="28"/>
          <w:highlight w:val="none"/>
          <w:u w:val="single"/>
        </w:rPr>
        <w:t>1.5个月租金标准金额</w:t>
      </w:r>
      <w:bookmarkEnd w:id="0"/>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w:t>
      </w:r>
    </w:p>
    <w:p w14:paraId="152261A8">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（3）未提前</w:t>
      </w:r>
      <w:r>
        <w:rPr>
          <w:rFonts w:hint="eastAsia" w:ascii="仿宋" w:hAnsi="仿宋" w:eastAsia="仿宋" w:cs="仿宋"/>
          <w:sz w:val="28"/>
          <w:szCs w:val="28"/>
          <w:highlight w:val="none"/>
          <w:u w:val="single"/>
        </w:rPr>
        <w:t xml:space="preserve"> 90 </w:t>
      </w:r>
      <w:r>
        <w:rPr>
          <w:rFonts w:hint="eastAsia" w:ascii="仿宋" w:hAnsi="仿宋" w:eastAsia="仿宋" w:cs="仿宋"/>
          <w:sz w:val="28"/>
          <w:szCs w:val="28"/>
          <w:highlight w:val="none"/>
        </w:rPr>
        <w:t>日历天以书面形式通知甲方，但履行租期达五年及以上的，需向甲方支付违约金</w:t>
      </w:r>
      <w:r>
        <w:rPr>
          <w:rFonts w:hint="eastAsia" w:ascii="仿宋" w:hAnsi="仿宋" w:eastAsia="仿宋" w:cs="仿宋"/>
          <w:sz w:val="28"/>
          <w:szCs w:val="28"/>
          <w:highlight w:val="none"/>
          <w:u w:val="single"/>
        </w:rPr>
        <w:t xml:space="preserve">  1.5个月租金标准金额    </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w:t>
      </w:r>
    </w:p>
    <w:p w14:paraId="21472D5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（4）未提前</w:t>
      </w:r>
      <w:r>
        <w:rPr>
          <w:rFonts w:hint="eastAsia" w:ascii="仿宋" w:hAnsi="仿宋" w:eastAsia="仿宋" w:cs="仿宋"/>
          <w:sz w:val="28"/>
          <w:szCs w:val="28"/>
          <w:highlight w:val="none"/>
          <w:u w:val="single"/>
        </w:rPr>
        <w:t xml:space="preserve"> 90 </w:t>
      </w:r>
      <w:r>
        <w:rPr>
          <w:rFonts w:hint="eastAsia" w:ascii="仿宋" w:hAnsi="仿宋" w:eastAsia="仿宋" w:cs="仿宋"/>
          <w:sz w:val="28"/>
          <w:szCs w:val="28"/>
          <w:highlight w:val="none"/>
        </w:rPr>
        <w:t>日历天以书面形式通知甲方，且履行租期未达五年的，需向甲方支付违约金</w:t>
      </w:r>
      <w:r>
        <w:rPr>
          <w:rFonts w:hint="eastAsia" w:ascii="仿宋" w:hAnsi="仿宋" w:eastAsia="仿宋" w:cs="仿宋"/>
          <w:sz w:val="28"/>
          <w:szCs w:val="28"/>
          <w:highlight w:val="none"/>
          <w:u w:val="single"/>
        </w:rPr>
        <w:t xml:space="preserve"> 3个月租金标准金额    </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），并另行赔偿甲方因此遭受的所有损失。</w:t>
      </w:r>
    </w:p>
    <w:p w14:paraId="7811A98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4、租赁期内乙方未按约定时间支付租金的，除须补交租金外，每迟付一天应按照未支付租金日万分之五的标准支付违约金。符合本合同第十条第（四）款第2、3情形的，甲方仍有权行使第十条约定的相关权利。</w:t>
      </w:r>
    </w:p>
    <w:p w14:paraId="58569F60">
      <w:pPr>
        <w:spacing w:line="592" w:lineRule="exact"/>
        <w:ind w:left="105" w:leftChars="50"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5、租赁期满或合同解除后，乙方未按约定时间腾空并返还甲方房屋的，每延迟一天按</w:t>
      </w:r>
      <w:r>
        <w:rPr>
          <w:rFonts w:hint="eastAsia" w:ascii="仿宋" w:hAnsi="仿宋" w:eastAsia="仿宋" w:cs="仿宋"/>
          <w:sz w:val="28"/>
          <w:szCs w:val="28"/>
          <w:highlight w:val="none"/>
          <w:u w:val="single"/>
        </w:rPr>
        <w:t>最后一期租金标准日租金（日租金=月租金/所在月度账期的天数）的1.3 倍</w:t>
      </w:r>
      <w:r>
        <w:rPr>
          <w:rFonts w:hint="eastAsia" w:ascii="仿宋" w:hAnsi="仿宋" w:eastAsia="仿宋" w:cs="仿宋"/>
          <w:sz w:val="28"/>
          <w:szCs w:val="28"/>
          <w:highlight w:val="none"/>
        </w:rPr>
        <w:t>支付资产占用费。</w:t>
      </w:r>
    </w:p>
    <w:p w14:paraId="27698F0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6、乙方同意租赁期内产生的违约金直接从乙方履约保证金中扣除，并在接到甲方书面通知的15自然日内补齐履约保证金，逾期未补齐的，甲方有权解除合同。</w:t>
      </w:r>
    </w:p>
    <w:p w14:paraId="4B98DBC8">
      <w:pPr>
        <w:spacing w:line="592" w:lineRule="exact"/>
        <w:ind w:firstLine="560" w:firstLineChars="200"/>
        <w:rPr>
          <w:rFonts w:ascii="仿宋" w:hAnsi="仿宋" w:eastAsia="仿宋" w:cs="仿宋"/>
          <w:b/>
          <w:sz w:val="28"/>
          <w:szCs w:val="28"/>
          <w:highlight w:val="none"/>
          <w:u w:val="single"/>
        </w:rPr>
      </w:pPr>
      <w:r>
        <w:rPr>
          <w:rFonts w:hint="eastAsia" w:ascii="仿宋" w:hAnsi="仿宋" w:eastAsia="仿宋" w:cs="仿宋"/>
          <w:sz w:val="28"/>
          <w:szCs w:val="28"/>
          <w:highlight w:val="none"/>
        </w:rPr>
        <w:t>7、</w:t>
      </w:r>
      <w:r>
        <w:rPr>
          <w:rFonts w:hint="eastAsia" w:ascii="仿宋" w:hAnsi="仿宋" w:eastAsia="仿宋" w:cs="仿宋"/>
          <w:b/>
          <w:sz w:val="28"/>
          <w:szCs w:val="28"/>
          <w:highlight w:val="none"/>
          <w:u w:val="single"/>
        </w:rPr>
        <w:t>因乙方违约，甲方通过诉讼途径主张债权的，甲方实现债权的费用（包括但不限于律师费、诉讼费、诉讼保全担保费、交通费、差旅费、公证费等）由乙方负担。</w:t>
      </w:r>
    </w:p>
    <w:p w14:paraId="3CF26082">
      <w:pPr>
        <w:spacing w:line="592" w:lineRule="exact"/>
        <w:ind w:firstLine="560" w:firstLineChars="200"/>
        <w:rPr>
          <w:rFonts w:hint="eastAsia" w:ascii="仿宋" w:hAnsi="仿宋" w:eastAsia="仿宋" w:cs="仿宋"/>
          <w:b/>
          <w:sz w:val="28"/>
          <w:szCs w:val="28"/>
          <w:highlight w:val="none"/>
          <w:u w:val="single"/>
        </w:rPr>
      </w:pPr>
      <w:r>
        <w:rPr>
          <w:rFonts w:hint="eastAsia" w:ascii="仿宋" w:hAnsi="仿宋" w:eastAsia="仿宋" w:cs="仿宋"/>
          <w:sz w:val="28"/>
          <w:szCs w:val="28"/>
          <w:highlight w:val="none"/>
        </w:rPr>
        <w:t>8、</w:t>
      </w:r>
      <w:r>
        <w:rPr>
          <w:rFonts w:hint="eastAsia" w:ascii="仿宋" w:hAnsi="仿宋" w:eastAsia="仿宋" w:cs="仿宋"/>
          <w:b/>
          <w:sz w:val="28"/>
          <w:szCs w:val="28"/>
          <w:highlight w:val="none"/>
          <w:u w:val="single"/>
        </w:rPr>
        <w:t>因乙方原因，未按照本合同第三条约定时间完成酒店正式开业的，延迟2个月内的（含），甲方有权在履约保证金扣除1个月租金标准的违约金；延迟在2个月以上、6个月以内的（含），甲方有权扣除3个月租金标准的违约金违约，延迟6个月以上的，甲方有权扣除6个月租金标准的违约金并解除合同。</w:t>
      </w:r>
    </w:p>
    <w:p w14:paraId="4E6F5D56">
      <w:pPr>
        <w:spacing w:line="592"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第十三条 </w:t>
      </w:r>
      <w:r>
        <w:rPr>
          <w:rFonts w:hint="eastAsia" w:ascii="仿宋" w:hAnsi="仿宋" w:eastAsia="仿宋" w:cs="仿宋"/>
          <w:sz w:val="28"/>
          <w:szCs w:val="28"/>
          <w:highlight w:val="none"/>
        </w:rPr>
        <w:t>乙方接收房屋后，该租赁房屋、附属设施设备及房屋内物品的全部安全及消防责任均由乙方承担。租赁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据此单方面解除本合同。</w:t>
      </w:r>
    </w:p>
    <w:p w14:paraId="313B8A25">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第十四条 特别约定</w:t>
      </w:r>
    </w:p>
    <w:p w14:paraId="56B11707">
      <w:pPr>
        <w:spacing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(一)房屋交付后，乙方可根据自身情况自行购买相关财产保险，对因房屋渗漏、盗窃、火灾、水灾、地震等原因引起的财产损失，甲方不承担补偿或赔偿责任。</w:t>
      </w:r>
    </w:p>
    <w:p w14:paraId="3E440970">
      <w:pPr>
        <w:spacing w:line="592" w:lineRule="exact"/>
        <w:ind w:firstLine="56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(二)乙方同意如下联系地址、联系电话、微信、QQ、电子邮箱作为甲方催收租金通知、安全通知、解除合同通知等材料以及人民法院司法送达的送达地址和联系方式。</w:t>
      </w:r>
    </w:p>
    <w:p w14:paraId="50E85DED">
      <w:pPr>
        <w:spacing w:line="592"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w:t>
      </w:r>
      <w:r>
        <w:rPr>
          <w:rFonts w:hint="eastAsia" w:ascii="仿宋" w:hAnsi="仿宋" w:eastAsia="仿宋" w:cs="仿宋"/>
          <w:sz w:val="28"/>
          <w:szCs w:val="28"/>
          <w:highlight w:val="none"/>
          <w:u w:val="single"/>
        </w:rPr>
        <w:t xml:space="preserve">                </w:t>
      </w:r>
    </w:p>
    <w:p w14:paraId="1DE1123C">
      <w:pPr>
        <w:spacing w:line="592"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u w:val="single"/>
        </w:rPr>
        <w:t xml:space="preserve">                </w:t>
      </w:r>
    </w:p>
    <w:p w14:paraId="301357DD">
      <w:pPr>
        <w:spacing w:line="592"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u w:val="single"/>
        </w:rPr>
        <w:t xml:space="preserve">                </w:t>
      </w:r>
    </w:p>
    <w:p w14:paraId="28BC319B">
      <w:pPr>
        <w:spacing w:line="592" w:lineRule="exact"/>
        <w:ind w:firstLine="56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乙方应确保上述联系地址、联系电话、微信、QQ、电子邮箱的准确性和畅通性，如因信息不准确或者发生变更时未书面通知或未及时书面通知甲方，造成乙方未能及时接收到甲方或人民法院发出或送达的材料或通知时，由此产生的不利法律后果由乙方自行承担。</w:t>
      </w:r>
    </w:p>
    <w:p w14:paraId="36BE397F">
      <w:pPr>
        <w:spacing w:line="592" w:lineRule="exact"/>
        <w:ind w:firstLine="548" w:firstLineChars="196"/>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u w:val="single"/>
        </w:rPr>
        <w:t>乙方同意上述联系地址、联系电话、微信、QQ、电子邮箱作为人民法院送达地址和联系方式，并接受最高人民法院于2017年7月19日颁布的《关于进一步加强民事送达工作的若干意见》中有关送达的规定及自愿接受因不能送达而产生的不利法律后果。</w:t>
      </w:r>
    </w:p>
    <w:p w14:paraId="6F6FE437">
      <w:pPr>
        <w:spacing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三）乙方一旦发生以下情形，甲方无需履行任何通知义务，有权单方决定采取断水、断电措施，并有权采用无钥匙开锁等破坏性方式进入该出租房屋内，收回房屋、解除合同并自行单方处置房屋内所有物品的所有权，由此给乙方或第三方造成的全部损失，全部由乙方无条件承担，且乙方不得提出任何异议：</w:t>
      </w:r>
    </w:p>
    <w:p w14:paraId="76004094">
      <w:pPr>
        <w:spacing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1、合同期满且双方未能续签的情况下,乙方自合同期满之日起5个自然日内未向甲方返还房屋的;</w:t>
      </w:r>
    </w:p>
    <w:p w14:paraId="7A2C645E">
      <w:pPr>
        <w:spacing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2、擅自改变租赁合同中约定的房屋用途的；</w:t>
      </w:r>
    </w:p>
    <w:p w14:paraId="5CD78613">
      <w:pPr>
        <w:spacing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3、乙方发生本合同第十条第（四）款约定情形之一的。</w:t>
      </w:r>
    </w:p>
    <w:p w14:paraId="343099CA">
      <w:pPr>
        <w:spacing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四）该房产按中标后现状交付。乙方在竞标前已现场勘查房屋现状，中标后即视同乙方了解并接受房屋现状。凡涉及水电改造、增容、消防改造、房屋维修（不包括房屋主体结构损坏）等事项，均由乙方自行负责，甲方不承担任何责任。</w:t>
      </w:r>
    </w:p>
    <w:p w14:paraId="48B71583">
      <w:pPr>
        <w:spacing w:line="592"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五）乙方应无条件配合甲方的安全检查，并按甲方要求进行安全整改，拒不整改的，甲方有权解除合同并全额扣除乙方支付的履约保证金以作为甲方对该合同标的房产的安全整改资金，不足部分，甲方仍有权向乙方追偿。</w:t>
      </w:r>
    </w:p>
    <w:p w14:paraId="782B5EB3">
      <w:pPr>
        <w:pStyle w:val="2"/>
        <w:ind w:firstLine="560"/>
        <w:rPr>
          <w:rFonts w:eastAsia="仿宋"/>
          <w:highlight w:val="none"/>
        </w:rPr>
      </w:pPr>
      <w:r>
        <w:rPr>
          <w:rFonts w:hint="eastAsia" w:ascii="仿宋" w:hAnsi="仿宋" w:eastAsia="仿宋" w:cs="仿宋"/>
          <w:sz w:val="28"/>
          <w:szCs w:val="28"/>
          <w:highlight w:val="none"/>
          <w:u w:val="single"/>
        </w:rPr>
        <w:t xml:space="preserve">（六）其他约定：招商公告、乙方投标文件等材料均视为合同的补充部分，均具有相同法律效力。                                     </w:t>
      </w:r>
    </w:p>
    <w:p w14:paraId="6FC7E801">
      <w:pPr>
        <w:spacing w:line="592"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第十五条 </w:t>
      </w:r>
      <w:r>
        <w:rPr>
          <w:rFonts w:hint="eastAsia" w:ascii="仿宋" w:hAnsi="仿宋" w:eastAsia="仿宋" w:cs="仿宋"/>
          <w:b/>
          <w:bCs/>
          <w:sz w:val="28"/>
          <w:szCs w:val="28"/>
          <w:highlight w:val="none"/>
        </w:rPr>
        <w:t>争议的解决方式</w:t>
      </w:r>
    </w:p>
    <w:p w14:paraId="056B8AD2">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如本合同在履行过程中发生争议，双方应协商解决；协商不成的，可以向房屋所在地人民法院起诉。</w:t>
      </w:r>
    </w:p>
    <w:p w14:paraId="1D640F05">
      <w:pPr>
        <w:spacing w:line="592"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第十六条 </w:t>
      </w:r>
      <w:r>
        <w:rPr>
          <w:rFonts w:hint="eastAsia" w:ascii="仿宋" w:hAnsi="仿宋" w:eastAsia="仿宋" w:cs="仿宋"/>
          <w:sz w:val="28"/>
          <w:szCs w:val="28"/>
          <w:highlight w:val="none"/>
        </w:rPr>
        <w:t>本合同经双方签字或盖章后生效，并报相关部门备案。</w:t>
      </w:r>
    </w:p>
    <w:p w14:paraId="0E4717E9">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本合同壹式陆份，其中甲方执叁份，乙方执贰份，相关部门备案壹份，均具有相同法律效力。</w:t>
      </w:r>
    </w:p>
    <w:p w14:paraId="3732239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附件一：《房屋使用移交表》</w:t>
      </w:r>
    </w:p>
    <w:p w14:paraId="0C079C1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附件二：《到期(退租）房产收回表》</w:t>
      </w:r>
    </w:p>
    <w:p w14:paraId="1E1E4BA5">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附件三：《安全经营管理责任协议书》</w:t>
      </w:r>
    </w:p>
    <w:p w14:paraId="1FF630F1">
      <w:pPr>
        <w:pStyle w:val="2"/>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附件四：《租金明细表》</w:t>
      </w:r>
    </w:p>
    <w:p w14:paraId="78497D61">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甲方：                             乙方：</w:t>
      </w:r>
    </w:p>
    <w:p w14:paraId="02269A78">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统一社会信用代码：                 统一社会信用代码：</w:t>
      </w:r>
    </w:p>
    <w:p w14:paraId="6352E1CB">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14:paraId="37C8376E">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代理人：                           身份证号：</w:t>
      </w:r>
    </w:p>
    <w:p w14:paraId="73F89086">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                             代理人：</w:t>
      </w:r>
    </w:p>
    <w:p w14:paraId="16AEC494">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                         地址：</w:t>
      </w:r>
    </w:p>
    <w:p w14:paraId="2D2A2F1F">
      <w:pPr>
        <w:spacing w:line="592"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联系电话：</w:t>
      </w:r>
    </w:p>
    <w:p w14:paraId="4AEBC724">
      <w:pPr>
        <w:spacing w:line="592" w:lineRule="exact"/>
        <w:ind w:firstLine="564"/>
        <w:rPr>
          <w:rFonts w:hint="eastAsia" w:ascii="仿宋" w:hAnsi="仿宋" w:eastAsia="仿宋" w:cs="仿宋"/>
          <w:bCs/>
          <w:sz w:val="44"/>
          <w:szCs w:val="44"/>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1E42CE9">
      <w:pPr>
        <w:rPr>
          <w:rFonts w:hint="eastAsia" w:ascii="仿宋" w:hAnsi="仿宋" w:eastAsia="仿宋" w:cs="仿宋"/>
          <w:highlight w:val="none"/>
        </w:rPr>
        <w:sectPr>
          <w:headerReference r:id="rId4" w:type="default"/>
          <w:pgSz w:w="11906" w:h="16838"/>
          <w:pgMar w:top="1440" w:right="1800" w:bottom="1440" w:left="1800" w:header="851" w:footer="992" w:gutter="0"/>
          <w:cols w:space="720" w:num="1"/>
          <w:docGrid w:type="lines" w:linePitch="312" w:charSpace="0"/>
        </w:sectPr>
      </w:pPr>
    </w:p>
    <w:tbl>
      <w:tblPr>
        <w:tblStyle w:val="5"/>
        <w:tblpPr w:leftFromText="180" w:rightFromText="180" w:vertAnchor="page" w:horzAnchor="page" w:tblpX="1594" w:tblpY="2608"/>
        <w:tblOverlap w:val="never"/>
        <w:tblW w:w="13820" w:type="dxa"/>
        <w:tblInd w:w="0" w:type="dxa"/>
        <w:tblLayout w:type="autofit"/>
        <w:tblCellMar>
          <w:top w:w="0" w:type="dxa"/>
          <w:left w:w="108" w:type="dxa"/>
          <w:bottom w:w="0" w:type="dxa"/>
          <w:right w:w="108" w:type="dxa"/>
        </w:tblCellMar>
      </w:tblPr>
      <w:tblGrid>
        <w:gridCol w:w="2918"/>
        <w:gridCol w:w="1070"/>
        <w:gridCol w:w="340"/>
        <w:gridCol w:w="2918"/>
        <w:gridCol w:w="6574"/>
      </w:tblGrid>
      <w:tr w14:paraId="2BB9CD2B">
        <w:tblPrEx>
          <w:tblCellMar>
            <w:top w:w="0" w:type="dxa"/>
            <w:left w:w="108" w:type="dxa"/>
            <w:bottom w:w="0" w:type="dxa"/>
            <w:right w:w="108" w:type="dxa"/>
          </w:tblCellMar>
        </w:tblPrEx>
        <w:trPr>
          <w:trHeight w:val="1182" w:hRule="atLeast"/>
        </w:trPr>
        <w:tc>
          <w:tcPr>
            <w:tcW w:w="13820" w:type="dxa"/>
            <w:gridSpan w:val="5"/>
            <w:tcBorders>
              <w:top w:val="nil"/>
              <w:left w:val="nil"/>
              <w:bottom w:val="nil"/>
              <w:right w:val="nil"/>
            </w:tcBorders>
            <w:noWrap/>
            <w:vAlign w:val="center"/>
          </w:tcPr>
          <w:p w14:paraId="37CE8D5F">
            <w:pPr>
              <w:widowControl/>
              <w:jc w:val="center"/>
              <w:textAlignment w:val="center"/>
              <w:rPr>
                <w:rFonts w:hint="eastAsia" w:ascii="仿宋" w:hAnsi="仿宋" w:eastAsia="仿宋" w:cs="仿宋"/>
                <w:color w:val="000000"/>
                <w:sz w:val="40"/>
                <w:szCs w:val="40"/>
                <w:highlight w:val="none"/>
              </w:rPr>
            </w:pPr>
            <w:r>
              <w:rPr>
                <w:rFonts w:hint="eastAsia" w:ascii="仿宋" w:hAnsi="仿宋" w:eastAsia="仿宋" w:cs="仿宋"/>
                <w:color w:val="000000"/>
                <w:kern w:val="0"/>
                <w:sz w:val="40"/>
                <w:szCs w:val="40"/>
                <w:highlight w:val="none"/>
                <w:lang w:bidi="ar"/>
              </w:rPr>
              <w:t>房屋使用移交表</w:t>
            </w:r>
          </w:p>
        </w:tc>
      </w:tr>
      <w:tr w14:paraId="38EA2FB7">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8FEF24">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房屋坐落位置</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D226822">
            <w:pPr>
              <w:jc w:val="center"/>
              <w:rPr>
                <w:rFonts w:hint="eastAsia" w:ascii="仿宋" w:hAnsi="仿宋" w:eastAsia="仿宋" w:cs="仿宋"/>
                <w:b/>
                <w:bCs/>
                <w:color w:val="000000"/>
                <w:sz w:val="24"/>
                <w:highlight w:val="none"/>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06308135">
            <w:pPr>
              <w:jc w:val="center"/>
              <w:rPr>
                <w:rFonts w:hint="eastAsia" w:ascii="仿宋" w:hAnsi="仿宋" w:eastAsia="仿宋" w:cs="仿宋"/>
                <w:color w:val="000000"/>
                <w:sz w:val="24"/>
                <w:highlight w:val="none"/>
              </w:rPr>
            </w:pPr>
            <w:r>
              <w:rPr>
                <w:rFonts w:hint="eastAsia" w:ascii="仿宋" w:hAnsi="仿宋" w:eastAsia="仿宋" w:cs="仿宋"/>
                <w:b/>
                <w:bCs/>
                <w:color w:val="000000"/>
                <w:kern w:val="0"/>
                <w:sz w:val="24"/>
                <w:highlight w:val="none"/>
                <w:lang w:bidi="ar"/>
              </w:rPr>
              <w:t>面积（平方米）</w:t>
            </w:r>
          </w:p>
        </w:tc>
      </w:tr>
      <w:tr w14:paraId="42BBD30B">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40C7E8">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租户名称</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05066FC6">
            <w:pPr>
              <w:jc w:val="center"/>
              <w:rPr>
                <w:rFonts w:hint="eastAsia" w:ascii="仿宋" w:hAnsi="仿宋" w:eastAsia="仿宋" w:cs="仿宋"/>
                <w:b/>
                <w:bCs/>
                <w:color w:val="000000"/>
                <w:sz w:val="24"/>
                <w:highlight w:val="none"/>
              </w:rPr>
            </w:pPr>
          </w:p>
        </w:tc>
      </w:tr>
      <w:tr w14:paraId="0D6D0DD3">
        <w:tblPrEx>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5AE563">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水表读数（吨）</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E78D470">
            <w:pPr>
              <w:jc w:val="center"/>
              <w:rPr>
                <w:rFonts w:hint="eastAsia" w:ascii="仿宋" w:hAnsi="仿宋" w:eastAsia="仿宋" w:cs="仿宋"/>
                <w:b/>
                <w:bCs/>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A5D490">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电表读数（度）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C4DEBE">
            <w:pPr>
              <w:jc w:val="center"/>
              <w:rPr>
                <w:rFonts w:hint="eastAsia" w:ascii="仿宋" w:hAnsi="仿宋" w:eastAsia="仿宋" w:cs="仿宋"/>
                <w:b/>
                <w:bCs/>
                <w:color w:val="000000"/>
                <w:sz w:val="24"/>
                <w:highlight w:val="none"/>
              </w:rPr>
            </w:pPr>
          </w:p>
        </w:tc>
      </w:tr>
      <w:tr w14:paraId="6CB56383">
        <w:tblPrEx>
          <w:tblCellMar>
            <w:top w:w="0" w:type="dxa"/>
            <w:left w:w="108" w:type="dxa"/>
            <w:bottom w:w="0" w:type="dxa"/>
            <w:right w:w="108" w:type="dxa"/>
          </w:tblCellMar>
        </w:tblPrEx>
        <w:trPr>
          <w:trHeight w:val="61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854ADB1">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附属设施情况</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F096A4">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2A32808">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设备名称及型号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8C3261">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状况</w:t>
            </w:r>
          </w:p>
        </w:tc>
      </w:tr>
      <w:tr w14:paraId="079BE232">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75C3AA">
            <w:pPr>
              <w:jc w:val="center"/>
              <w:rPr>
                <w:rFonts w:hint="eastAsia" w:ascii="仿宋" w:hAnsi="仿宋" w:eastAsia="仿宋" w:cs="仿宋"/>
                <w:b/>
                <w:bCs/>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93DF7E">
            <w:pPr>
              <w:jc w:val="center"/>
              <w:rPr>
                <w:rFonts w:hint="eastAsia" w:ascii="仿宋" w:hAnsi="仿宋" w:eastAsia="仿宋" w:cs="仿宋"/>
                <w:b/>
                <w:bCs/>
                <w:color w:val="000000"/>
                <w:sz w:val="24"/>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09C2055">
            <w:pPr>
              <w:jc w:val="center"/>
              <w:rPr>
                <w:rFonts w:hint="eastAsia" w:ascii="仿宋" w:hAnsi="仿宋" w:eastAsia="仿宋" w:cs="仿宋"/>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172E90">
            <w:pPr>
              <w:jc w:val="center"/>
              <w:rPr>
                <w:rFonts w:hint="eastAsia" w:ascii="仿宋" w:hAnsi="仿宋" w:eastAsia="仿宋" w:cs="仿宋"/>
                <w:color w:val="000000"/>
                <w:sz w:val="24"/>
                <w:highlight w:val="none"/>
              </w:rPr>
            </w:pPr>
          </w:p>
        </w:tc>
      </w:tr>
      <w:tr w14:paraId="746B5FC4">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11DF2B">
            <w:pPr>
              <w:jc w:val="center"/>
              <w:rPr>
                <w:rFonts w:hint="eastAsia" w:ascii="仿宋" w:hAnsi="仿宋" w:eastAsia="仿宋" w:cs="仿宋"/>
                <w:b/>
                <w:bCs/>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4CB456">
            <w:pPr>
              <w:jc w:val="center"/>
              <w:rPr>
                <w:rFonts w:hint="eastAsia" w:ascii="仿宋" w:hAnsi="仿宋" w:eastAsia="仿宋" w:cs="仿宋"/>
                <w:b/>
                <w:bCs/>
                <w:color w:val="000000"/>
                <w:sz w:val="24"/>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928FE25">
            <w:pPr>
              <w:jc w:val="center"/>
              <w:rPr>
                <w:rFonts w:hint="eastAsia" w:ascii="仿宋" w:hAnsi="仿宋" w:eastAsia="仿宋" w:cs="仿宋"/>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46668F">
            <w:pPr>
              <w:jc w:val="center"/>
              <w:rPr>
                <w:rFonts w:hint="eastAsia" w:ascii="仿宋" w:hAnsi="仿宋" w:eastAsia="仿宋" w:cs="仿宋"/>
                <w:color w:val="000000"/>
                <w:sz w:val="24"/>
                <w:highlight w:val="none"/>
              </w:rPr>
            </w:pPr>
          </w:p>
        </w:tc>
      </w:tr>
      <w:tr w14:paraId="24DDD747">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B45C3F">
            <w:pPr>
              <w:jc w:val="center"/>
              <w:rPr>
                <w:rFonts w:hint="eastAsia" w:ascii="仿宋" w:hAnsi="仿宋" w:eastAsia="仿宋" w:cs="仿宋"/>
                <w:b/>
                <w:bCs/>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82064">
            <w:pPr>
              <w:jc w:val="center"/>
              <w:rPr>
                <w:rFonts w:hint="eastAsia" w:ascii="仿宋" w:hAnsi="仿宋" w:eastAsia="仿宋" w:cs="仿宋"/>
                <w:b/>
                <w:bCs/>
                <w:color w:val="000000"/>
                <w:sz w:val="24"/>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859DF3B">
            <w:pPr>
              <w:jc w:val="center"/>
              <w:rPr>
                <w:rFonts w:hint="eastAsia" w:ascii="仿宋" w:hAnsi="仿宋" w:eastAsia="仿宋" w:cs="仿宋"/>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F0B92A">
            <w:pPr>
              <w:jc w:val="center"/>
              <w:rPr>
                <w:rFonts w:hint="eastAsia" w:ascii="仿宋" w:hAnsi="仿宋" w:eastAsia="仿宋" w:cs="仿宋"/>
                <w:color w:val="000000"/>
                <w:sz w:val="24"/>
                <w:highlight w:val="none"/>
              </w:rPr>
            </w:pPr>
          </w:p>
        </w:tc>
      </w:tr>
      <w:tr w14:paraId="48BFCC27">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08779E">
            <w:pPr>
              <w:jc w:val="center"/>
              <w:rPr>
                <w:rFonts w:hint="eastAsia" w:ascii="仿宋" w:hAnsi="仿宋" w:eastAsia="仿宋" w:cs="仿宋"/>
                <w:b/>
                <w:bCs/>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CC984">
            <w:pPr>
              <w:jc w:val="center"/>
              <w:rPr>
                <w:rFonts w:hint="eastAsia" w:ascii="仿宋" w:hAnsi="仿宋" w:eastAsia="仿宋" w:cs="仿宋"/>
                <w:b/>
                <w:bCs/>
                <w:color w:val="000000"/>
                <w:sz w:val="24"/>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0EB311A">
            <w:pPr>
              <w:jc w:val="center"/>
              <w:rPr>
                <w:rFonts w:hint="eastAsia" w:ascii="仿宋" w:hAnsi="仿宋" w:eastAsia="仿宋" w:cs="仿宋"/>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1E6CF">
            <w:pPr>
              <w:jc w:val="center"/>
              <w:rPr>
                <w:rFonts w:hint="eastAsia" w:ascii="仿宋" w:hAnsi="仿宋" w:eastAsia="仿宋" w:cs="仿宋"/>
                <w:color w:val="000000"/>
                <w:sz w:val="24"/>
                <w:highlight w:val="none"/>
              </w:rPr>
            </w:pPr>
          </w:p>
        </w:tc>
      </w:tr>
      <w:tr w14:paraId="5439D981">
        <w:tblPrEx>
          <w:tblCellMar>
            <w:top w:w="0" w:type="dxa"/>
            <w:left w:w="108" w:type="dxa"/>
            <w:bottom w:w="0" w:type="dxa"/>
            <w:right w:w="108" w:type="dxa"/>
          </w:tblCellMar>
        </w:tblPrEx>
        <w:trPr>
          <w:trHeight w:val="6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ECE8D4">
            <w:pPr>
              <w:jc w:val="center"/>
              <w:rPr>
                <w:rFonts w:hint="eastAsia" w:ascii="仿宋" w:hAnsi="仿宋" w:eastAsia="仿宋" w:cs="仿宋"/>
                <w:b/>
                <w:bCs/>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1C7AA6">
            <w:pPr>
              <w:jc w:val="center"/>
              <w:rPr>
                <w:rFonts w:hint="eastAsia" w:ascii="仿宋" w:hAnsi="仿宋" w:eastAsia="仿宋" w:cs="仿宋"/>
                <w:b/>
                <w:bCs/>
                <w:color w:val="000000"/>
                <w:sz w:val="24"/>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AA986BA">
            <w:pPr>
              <w:jc w:val="center"/>
              <w:rPr>
                <w:rFonts w:hint="eastAsia" w:ascii="仿宋" w:hAnsi="仿宋" w:eastAsia="仿宋" w:cs="仿宋"/>
                <w:color w:val="000000"/>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605902">
            <w:pPr>
              <w:jc w:val="center"/>
              <w:rPr>
                <w:rFonts w:hint="eastAsia" w:ascii="仿宋" w:hAnsi="仿宋" w:eastAsia="仿宋" w:cs="仿宋"/>
                <w:color w:val="000000"/>
                <w:sz w:val="24"/>
                <w:highlight w:val="none"/>
              </w:rPr>
            </w:pPr>
          </w:p>
        </w:tc>
      </w:tr>
      <w:tr w14:paraId="2C00CF1F">
        <w:tblPrEx>
          <w:tblCellMar>
            <w:top w:w="0" w:type="dxa"/>
            <w:left w:w="108" w:type="dxa"/>
            <w:bottom w:w="0" w:type="dxa"/>
            <w:right w:w="108" w:type="dxa"/>
          </w:tblCellMar>
        </w:tblPrEx>
        <w:trPr>
          <w:trHeight w:val="610" w:hRule="atLeast"/>
        </w:trPr>
        <w:tc>
          <w:tcPr>
            <w:tcW w:w="0" w:type="auto"/>
            <w:gridSpan w:val="5"/>
            <w:tcBorders>
              <w:top w:val="nil"/>
              <w:left w:val="nil"/>
              <w:bottom w:val="nil"/>
              <w:right w:val="nil"/>
            </w:tcBorders>
            <w:noWrap/>
            <w:vAlign w:val="center"/>
          </w:tcPr>
          <w:p w14:paraId="0524DF25">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移交方：                                                         接收方：</w:t>
            </w:r>
          </w:p>
        </w:tc>
      </w:tr>
      <w:tr w14:paraId="749D9DB1">
        <w:tblPrEx>
          <w:tblCellMar>
            <w:top w:w="0" w:type="dxa"/>
            <w:left w:w="108" w:type="dxa"/>
            <w:bottom w:w="0" w:type="dxa"/>
            <w:right w:w="108" w:type="dxa"/>
          </w:tblCellMar>
        </w:tblPrEx>
        <w:trPr>
          <w:trHeight w:val="591" w:hRule="atLeast"/>
        </w:trPr>
        <w:tc>
          <w:tcPr>
            <w:tcW w:w="0" w:type="auto"/>
            <w:tcBorders>
              <w:top w:val="nil"/>
              <w:left w:val="nil"/>
              <w:bottom w:val="nil"/>
              <w:right w:val="nil"/>
            </w:tcBorders>
            <w:noWrap/>
            <w:vAlign w:val="center"/>
          </w:tcPr>
          <w:p w14:paraId="4BBBDA3E">
            <w:pPr>
              <w:rPr>
                <w:rFonts w:hint="eastAsia" w:ascii="仿宋" w:hAnsi="仿宋" w:eastAsia="仿宋" w:cs="仿宋"/>
                <w:color w:val="000000"/>
                <w:sz w:val="22"/>
                <w:szCs w:val="22"/>
                <w:highlight w:val="none"/>
              </w:rPr>
            </w:pPr>
          </w:p>
        </w:tc>
        <w:tc>
          <w:tcPr>
            <w:tcW w:w="0" w:type="auto"/>
            <w:tcBorders>
              <w:top w:val="nil"/>
              <w:left w:val="nil"/>
              <w:bottom w:val="nil"/>
              <w:right w:val="nil"/>
            </w:tcBorders>
            <w:noWrap/>
            <w:vAlign w:val="center"/>
          </w:tcPr>
          <w:p w14:paraId="56161CFD">
            <w:pPr>
              <w:rPr>
                <w:rFonts w:hint="eastAsia" w:ascii="仿宋" w:hAnsi="仿宋" w:eastAsia="仿宋" w:cs="仿宋"/>
                <w:color w:val="000000"/>
                <w:sz w:val="22"/>
                <w:szCs w:val="22"/>
                <w:highlight w:val="none"/>
              </w:rPr>
            </w:pPr>
          </w:p>
        </w:tc>
        <w:tc>
          <w:tcPr>
            <w:tcW w:w="0" w:type="auto"/>
            <w:tcBorders>
              <w:top w:val="nil"/>
              <w:left w:val="nil"/>
              <w:bottom w:val="nil"/>
              <w:right w:val="nil"/>
            </w:tcBorders>
            <w:noWrap/>
            <w:vAlign w:val="center"/>
          </w:tcPr>
          <w:p w14:paraId="2A52F445">
            <w:pPr>
              <w:rPr>
                <w:rFonts w:hint="eastAsia" w:ascii="仿宋" w:hAnsi="仿宋" w:eastAsia="仿宋" w:cs="仿宋"/>
                <w:color w:val="000000"/>
                <w:sz w:val="22"/>
                <w:szCs w:val="22"/>
                <w:highlight w:val="none"/>
              </w:rPr>
            </w:pPr>
          </w:p>
        </w:tc>
        <w:tc>
          <w:tcPr>
            <w:tcW w:w="0" w:type="auto"/>
            <w:tcBorders>
              <w:top w:val="nil"/>
              <w:left w:val="nil"/>
              <w:bottom w:val="nil"/>
              <w:right w:val="nil"/>
            </w:tcBorders>
            <w:noWrap/>
            <w:vAlign w:val="center"/>
          </w:tcPr>
          <w:p w14:paraId="3B2F421B">
            <w:pPr>
              <w:rPr>
                <w:rFonts w:hint="eastAsia" w:ascii="仿宋" w:hAnsi="仿宋" w:eastAsia="仿宋" w:cs="仿宋"/>
                <w:color w:val="000000"/>
                <w:sz w:val="22"/>
                <w:szCs w:val="22"/>
                <w:highlight w:val="none"/>
              </w:rPr>
            </w:pPr>
          </w:p>
        </w:tc>
        <w:tc>
          <w:tcPr>
            <w:tcW w:w="0" w:type="auto"/>
            <w:tcBorders>
              <w:top w:val="nil"/>
              <w:left w:val="nil"/>
              <w:bottom w:val="nil"/>
              <w:right w:val="nil"/>
            </w:tcBorders>
            <w:noWrap/>
            <w:vAlign w:val="center"/>
          </w:tcPr>
          <w:p w14:paraId="3CD35F8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年           月         日</w:t>
            </w:r>
          </w:p>
        </w:tc>
      </w:tr>
    </w:tbl>
    <w:p w14:paraId="71141018">
      <w:pPr>
        <w:rPr>
          <w:rFonts w:hint="eastAsia" w:ascii="仿宋" w:hAnsi="仿宋" w:eastAsia="仿宋" w:cs="仿宋"/>
          <w:sz w:val="32"/>
          <w:szCs w:val="40"/>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s="仿宋"/>
          <w:sz w:val="32"/>
          <w:szCs w:val="40"/>
          <w:highlight w:val="none"/>
        </w:rPr>
        <w:t>附件一</w:t>
      </w:r>
    </w:p>
    <w:tbl>
      <w:tblPr>
        <w:tblStyle w:val="5"/>
        <w:tblpPr w:leftFromText="180" w:rightFromText="180" w:vertAnchor="page" w:horzAnchor="page" w:tblpX="1526" w:tblpY="2535"/>
        <w:tblOverlap w:val="never"/>
        <w:tblW w:w="13820" w:type="dxa"/>
        <w:tblInd w:w="0" w:type="dxa"/>
        <w:tblLayout w:type="autofit"/>
        <w:tblCellMar>
          <w:top w:w="0" w:type="dxa"/>
          <w:left w:w="108" w:type="dxa"/>
          <w:bottom w:w="0" w:type="dxa"/>
          <w:right w:w="108" w:type="dxa"/>
        </w:tblCellMar>
      </w:tblPr>
      <w:tblGrid>
        <w:gridCol w:w="3839"/>
        <w:gridCol w:w="1408"/>
        <w:gridCol w:w="448"/>
        <w:gridCol w:w="3839"/>
        <w:gridCol w:w="4286"/>
      </w:tblGrid>
      <w:tr w14:paraId="32121E4D">
        <w:tblPrEx>
          <w:tblCellMar>
            <w:top w:w="0" w:type="dxa"/>
            <w:left w:w="108" w:type="dxa"/>
            <w:bottom w:w="0" w:type="dxa"/>
            <w:right w:w="108" w:type="dxa"/>
          </w:tblCellMar>
        </w:tblPrEx>
        <w:trPr>
          <w:trHeight w:val="1066" w:hRule="atLeast"/>
        </w:trPr>
        <w:tc>
          <w:tcPr>
            <w:tcW w:w="13820" w:type="dxa"/>
            <w:gridSpan w:val="5"/>
            <w:tcBorders>
              <w:top w:val="nil"/>
              <w:left w:val="nil"/>
              <w:bottom w:val="nil"/>
              <w:right w:val="nil"/>
            </w:tcBorders>
            <w:noWrap/>
            <w:vAlign w:val="center"/>
          </w:tcPr>
          <w:p w14:paraId="6D888C88">
            <w:pPr>
              <w:widowControl/>
              <w:jc w:val="center"/>
              <w:textAlignment w:val="center"/>
              <w:rPr>
                <w:rFonts w:hint="eastAsia" w:ascii="仿宋" w:hAnsi="仿宋" w:eastAsia="仿宋" w:cs="仿宋"/>
                <w:color w:val="000000"/>
                <w:sz w:val="40"/>
                <w:szCs w:val="40"/>
                <w:highlight w:val="none"/>
              </w:rPr>
            </w:pPr>
            <w:r>
              <w:rPr>
                <w:rFonts w:hint="eastAsia" w:ascii="仿宋" w:hAnsi="仿宋" w:eastAsia="仿宋" w:cs="仿宋"/>
                <w:color w:val="000000"/>
                <w:kern w:val="0"/>
                <w:sz w:val="40"/>
                <w:szCs w:val="40"/>
                <w:highlight w:val="none"/>
                <w:lang w:bidi="ar"/>
              </w:rPr>
              <w:t>到期( 退租）房产收回表</w:t>
            </w:r>
          </w:p>
        </w:tc>
      </w:tr>
      <w:tr w14:paraId="44933560">
        <w:tblPrEx>
          <w:tblCellMar>
            <w:top w:w="0" w:type="dxa"/>
            <w:left w:w="108" w:type="dxa"/>
            <w:bottom w:w="0" w:type="dxa"/>
            <w:right w:w="108" w:type="dxa"/>
          </w:tblCellMar>
        </w:tblPrEx>
        <w:trPr>
          <w:trHeight w:val="550" w:hRule="atLeast"/>
        </w:trPr>
        <w:tc>
          <w:tcPr>
            <w:tcW w:w="3839" w:type="dxa"/>
            <w:tcBorders>
              <w:top w:val="single" w:color="000000" w:sz="4" w:space="0"/>
              <w:left w:val="single" w:color="000000" w:sz="4" w:space="0"/>
              <w:bottom w:val="single" w:color="000000" w:sz="4" w:space="0"/>
              <w:right w:val="single" w:color="000000" w:sz="4" w:space="0"/>
            </w:tcBorders>
            <w:noWrap/>
            <w:vAlign w:val="center"/>
          </w:tcPr>
          <w:p w14:paraId="2F5AD303">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房屋坐落位置</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7CB5D441">
            <w:pPr>
              <w:jc w:val="center"/>
              <w:rPr>
                <w:rFonts w:hint="eastAsia" w:ascii="仿宋" w:hAnsi="仿宋" w:eastAsia="仿宋" w:cs="仿宋"/>
                <w:b/>
                <w:bCs/>
                <w:color w:val="000000"/>
                <w:sz w:val="24"/>
                <w:highlight w:val="none"/>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18A30134">
            <w:pPr>
              <w:jc w:val="center"/>
              <w:rPr>
                <w:rFonts w:hint="eastAsia" w:ascii="仿宋" w:hAnsi="仿宋" w:eastAsia="仿宋" w:cs="仿宋"/>
                <w:color w:val="000000"/>
                <w:sz w:val="24"/>
                <w:highlight w:val="none"/>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665C4831">
            <w:pPr>
              <w:jc w:val="center"/>
              <w:rPr>
                <w:rFonts w:hint="eastAsia" w:ascii="仿宋" w:hAnsi="仿宋" w:eastAsia="仿宋" w:cs="仿宋"/>
                <w:color w:val="000000"/>
                <w:sz w:val="24"/>
                <w:highlight w:val="none"/>
              </w:rPr>
            </w:pPr>
            <w:r>
              <w:rPr>
                <w:rFonts w:hint="eastAsia" w:ascii="仿宋" w:hAnsi="仿宋" w:eastAsia="仿宋" w:cs="仿宋"/>
                <w:b/>
                <w:bCs/>
                <w:color w:val="000000"/>
                <w:kern w:val="0"/>
                <w:sz w:val="24"/>
                <w:highlight w:val="none"/>
                <w:lang w:bidi="ar"/>
              </w:rPr>
              <w:t>面积（平方米）</w:t>
            </w:r>
          </w:p>
        </w:tc>
      </w:tr>
      <w:tr w14:paraId="2549D2E9">
        <w:tblPrEx>
          <w:tblCellMar>
            <w:top w:w="0" w:type="dxa"/>
            <w:left w:w="108" w:type="dxa"/>
            <w:bottom w:w="0" w:type="dxa"/>
            <w:right w:w="108" w:type="dxa"/>
          </w:tblCellMar>
        </w:tblPrEx>
        <w:trPr>
          <w:trHeight w:val="550" w:hRule="atLeast"/>
        </w:trPr>
        <w:tc>
          <w:tcPr>
            <w:tcW w:w="3839" w:type="dxa"/>
            <w:tcBorders>
              <w:top w:val="single" w:color="000000" w:sz="4" w:space="0"/>
              <w:left w:val="single" w:color="000000" w:sz="4" w:space="0"/>
              <w:bottom w:val="single" w:color="000000" w:sz="4" w:space="0"/>
              <w:right w:val="single" w:color="000000" w:sz="4" w:space="0"/>
            </w:tcBorders>
            <w:noWrap/>
            <w:vAlign w:val="center"/>
          </w:tcPr>
          <w:p w14:paraId="4D12BE8D">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租户名称</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77067ACE">
            <w:pPr>
              <w:jc w:val="center"/>
              <w:rPr>
                <w:rFonts w:hint="eastAsia" w:ascii="仿宋" w:hAnsi="仿宋" w:eastAsia="仿宋" w:cs="仿宋"/>
                <w:b/>
                <w:bCs/>
                <w:color w:val="000000"/>
                <w:sz w:val="24"/>
                <w:highlight w:val="none"/>
              </w:rPr>
            </w:pPr>
          </w:p>
        </w:tc>
        <w:tc>
          <w:tcPr>
            <w:tcW w:w="8573" w:type="dxa"/>
            <w:gridSpan w:val="3"/>
            <w:tcBorders>
              <w:top w:val="single" w:color="000000" w:sz="4" w:space="0"/>
              <w:left w:val="single" w:color="000000" w:sz="4" w:space="0"/>
              <w:bottom w:val="single" w:color="000000" w:sz="4" w:space="0"/>
              <w:right w:val="single" w:color="000000" w:sz="4" w:space="0"/>
            </w:tcBorders>
            <w:noWrap/>
            <w:vAlign w:val="center"/>
          </w:tcPr>
          <w:p w14:paraId="62365B1D">
            <w:pPr>
              <w:jc w:val="center"/>
              <w:rPr>
                <w:rFonts w:hint="eastAsia" w:ascii="仿宋" w:hAnsi="仿宋" w:eastAsia="仿宋" w:cs="仿宋"/>
                <w:color w:val="000000"/>
                <w:sz w:val="24"/>
                <w:highlight w:val="none"/>
              </w:rPr>
            </w:pPr>
          </w:p>
        </w:tc>
      </w:tr>
      <w:tr w14:paraId="6879EA37">
        <w:tblPrEx>
          <w:tblCellMar>
            <w:top w:w="0" w:type="dxa"/>
            <w:left w:w="108" w:type="dxa"/>
            <w:bottom w:w="0" w:type="dxa"/>
            <w:right w:w="108" w:type="dxa"/>
          </w:tblCellMar>
        </w:tblPrEx>
        <w:trPr>
          <w:trHeight w:val="550" w:hRule="atLeast"/>
        </w:trPr>
        <w:tc>
          <w:tcPr>
            <w:tcW w:w="3839" w:type="dxa"/>
            <w:tcBorders>
              <w:top w:val="single" w:color="000000" w:sz="4" w:space="0"/>
              <w:left w:val="single" w:color="000000" w:sz="4" w:space="0"/>
              <w:bottom w:val="single" w:color="000000" w:sz="4" w:space="0"/>
              <w:right w:val="single" w:color="000000" w:sz="4" w:space="0"/>
            </w:tcBorders>
            <w:noWrap/>
            <w:vAlign w:val="center"/>
          </w:tcPr>
          <w:p w14:paraId="72DC29BE">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水表读数（吨）</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0DDA52D6">
            <w:pPr>
              <w:jc w:val="center"/>
              <w:rPr>
                <w:rFonts w:hint="eastAsia" w:ascii="仿宋" w:hAnsi="仿宋" w:eastAsia="仿宋" w:cs="仿宋"/>
                <w:b/>
                <w:bCs/>
                <w:color w:val="000000"/>
                <w:sz w:val="24"/>
                <w:highlight w:val="none"/>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07B801A7">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水费欠额（元）</w:t>
            </w: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3DFA1B4D">
            <w:pPr>
              <w:jc w:val="center"/>
              <w:rPr>
                <w:rFonts w:hint="eastAsia" w:ascii="仿宋" w:hAnsi="仿宋" w:eastAsia="仿宋" w:cs="仿宋"/>
                <w:b/>
                <w:bCs/>
                <w:color w:val="000000"/>
                <w:sz w:val="24"/>
                <w:highlight w:val="none"/>
              </w:rPr>
            </w:pPr>
          </w:p>
        </w:tc>
      </w:tr>
      <w:tr w14:paraId="423DEC00">
        <w:tblPrEx>
          <w:tblCellMar>
            <w:top w:w="0" w:type="dxa"/>
            <w:left w:w="108" w:type="dxa"/>
            <w:bottom w:w="0" w:type="dxa"/>
            <w:right w:w="108" w:type="dxa"/>
          </w:tblCellMar>
        </w:tblPrEx>
        <w:trPr>
          <w:trHeight w:val="550" w:hRule="atLeast"/>
        </w:trPr>
        <w:tc>
          <w:tcPr>
            <w:tcW w:w="3839" w:type="dxa"/>
            <w:tcBorders>
              <w:top w:val="single" w:color="000000" w:sz="4" w:space="0"/>
              <w:left w:val="single" w:color="000000" w:sz="4" w:space="0"/>
              <w:bottom w:val="single" w:color="000000" w:sz="4" w:space="0"/>
              <w:right w:val="single" w:color="000000" w:sz="4" w:space="0"/>
            </w:tcBorders>
            <w:noWrap/>
            <w:vAlign w:val="center"/>
          </w:tcPr>
          <w:p w14:paraId="7F9990B4">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电表读数（度）</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A17736F">
            <w:pPr>
              <w:jc w:val="center"/>
              <w:rPr>
                <w:rFonts w:hint="eastAsia" w:ascii="仿宋" w:hAnsi="仿宋" w:eastAsia="仿宋" w:cs="仿宋"/>
                <w:b/>
                <w:bCs/>
                <w:color w:val="000000"/>
                <w:sz w:val="24"/>
                <w:highlight w:val="none"/>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28F07D70">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电费欠额（元）</w:t>
            </w: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44FDFE42">
            <w:pPr>
              <w:jc w:val="center"/>
              <w:rPr>
                <w:rFonts w:hint="eastAsia" w:ascii="仿宋" w:hAnsi="仿宋" w:eastAsia="仿宋" w:cs="仿宋"/>
                <w:b/>
                <w:bCs/>
                <w:color w:val="000000"/>
                <w:sz w:val="24"/>
                <w:highlight w:val="none"/>
              </w:rPr>
            </w:pPr>
          </w:p>
        </w:tc>
      </w:tr>
      <w:tr w14:paraId="1695FD65">
        <w:tblPrEx>
          <w:tblCellMar>
            <w:top w:w="0" w:type="dxa"/>
            <w:left w:w="108" w:type="dxa"/>
            <w:bottom w:w="0" w:type="dxa"/>
            <w:right w:w="108" w:type="dxa"/>
          </w:tblCellMar>
        </w:tblPrEx>
        <w:trPr>
          <w:trHeight w:val="550" w:hRule="atLeast"/>
        </w:trPr>
        <w:tc>
          <w:tcPr>
            <w:tcW w:w="3839" w:type="dxa"/>
            <w:vMerge w:val="restart"/>
            <w:tcBorders>
              <w:top w:val="single" w:color="000000" w:sz="4" w:space="0"/>
              <w:left w:val="single" w:color="000000" w:sz="4" w:space="0"/>
              <w:bottom w:val="single" w:color="000000" w:sz="4" w:space="0"/>
              <w:right w:val="single" w:color="000000" w:sz="4" w:space="0"/>
            </w:tcBorders>
            <w:noWrap/>
            <w:vAlign w:val="center"/>
          </w:tcPr>
          <w:p w14:paraId="6A4C7FFD">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附属设施情况</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344174C">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序号</w:t>
            </w: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2C5C439A">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设备名称及型号</w:t>
            </w: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4DEB7B4C">
            <w:pPr>
              <w:widowControl/>
              <w:jc w:val="center"/>
              <w:textAlignment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状况</w:t>
            </w:r>
          </w:p>
        </w:tc>
      </w:tr>
      <w:tr w14:paraId="03901559">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53D41F90">
            <w:pPr>
              <w:jc w:val="center"/>
              <w:rPr>
                <w:rFonts w:hint="eastAsia" w:ascii="仿宋" w:hAnsi="仿宋" w:eastAsia="仿宋" w:cs="仿宋"/>
                <w:b/>
                <w:bCs/>
                <w:color w:val="000000"/>
                <w:sz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58100720">
            <w:pPr>
              <w:jc w:val="center"/>
              <w:rPr>
                <w:rFonts w:hint="eastAsia" w:ascii="仿宋" w:hAnsi="仿宋" w:eastAsia="仿宋" w:cs="仿宋"/>
                <w:b/>
                <w:bCs/>
                <w:color w:val="000000"/>
                <w:sz w:val="24"/>
                <w:highlight w:val="none"/>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1968A2CF">
            <w:pPr>
              <w:jc w:val="center"/>
              <w:rPr>
                <w:rFonts w:hint="eastAsia" w:ascii="仿宋" w:hAnsi="仿宋" w:eastAsia="仿宋" w:cs="仿宋"/>
                <w:color w:val="000000"/>
                <w:sz w:val="24"/>
                <w:highlight w:val="none"/>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3BC6EA21">
            <w:pPr>
              <w:jc w:val="center"/>
              <w:rPr>
                <w:rFonts w:hint="eastAsia" w:ascii="仿宋" w:hAnsi="仿宋" w:eastAsia="仿宋" w:cs="仿宋"/>
                <w:color w:val="000000"/>
                <w:sz w:val="24"/>
                <w:highlight w:val="none"/>
              </w:rPr>
            </w:pPr>
          </w:p>
        </w:tc>
      </w:tr>
      <w:tr w14:paraId="49E8524E">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2DBF2BDE">
            <w:pPr>
              <w:jc w:val="center"/>
              <w:rPr>
                <w:rFonts w:hint="eastAsia" w:ascii="仿宋" w:hAnsi="仿宋" w:eastAsia="仿宋" w:cs="仿宋"/>
                <w:b/>
                <w:bCs/>
                <w:color w:val="000000"/>
                <w:sz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7D794CE">
            <w:pPr>
              <w:jc w:val="center"/>
              <w:rPr>
                <w:rFonts w:hint="eastAsia" w:ascii="仿宋" w:hAnsi="仿宋" w:eastAsia="仿宋" w:cs="仿宋"/>
                <w:b/>
                <w:bCs/>
                <w:color w:val="000000"/>
                <w:sz w:val="24"/>
                <w:highlight w:val="none"/>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165967C3">
            <w:pPr>
              <w:jc w:val="center"/>
              <w:rPr>
                <w:rFonts w:hint="eastAsia" w:ascii="仿宋" w:hAnsi="仿宋" w:eastAsia="仿宋" w:cs="仿宋"/>
                <w:color w:val="000000"/>
                <w:sz w:val="24"/>
                <w:highlight w:val="none"/>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08C57D6F">
            <w:pPr>
              <w:jc w:val="center"/>
              <w:rPr>
                <w:rFonts w:hint="eastAsia" w:ascii="仿宋" w:hAnsi="仿宋" w:eastAsia="仿宋" w:cs="仿宋"/>
                <w:color w:val="000000"/>
                <w:sz w:val="24"/>
                <w:highlight w:val="none"/>
              </w:rPr>
            </w:pPr>
          </w:p>
        </w:tc>
      </w:tr>
      <w:tr w14:paraId="14DBA0FC">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26532BE9">
            <w:pPr>
              <w:jc w:val="center"/>
              <w:rPr>
                <w:rFonts w:hint="eastAsia" w:ascii="仿宋" w:hAnsi="仿宋" w:eastAsia="仿宋" w:cs="仿宋"/>
                <w:b/>
                <w:bCs/>
                <w:color w:val="000000"/>
                <w:sz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D4F055C">
            <w:pPr>
              <w:jc w:val="center"/>
              <w:rPr>
                <w:rFonts w:hint="eastAsia" w:ascii="仿宋" w:hAnsi="仿宋" w:eastAsia="仿宋" w:cs="仿宋"/>
                <w:b/>
                <w:bCs/>
                <w:color w:val="000000"/>
                <w:sz w:val="24"/>
                <w:highlight w:val="none"/>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7F2AAFA3">
            <w:pPr>
              <w:jc w:val="center"/>
              <w:rPr>
                <w:rFonts w:hint="eastAsia" w:ascii="仿宋" w:hAnsi="仿宋" w:eastAsia="仿宋" w:cs="仿宋"/>
                <w:color w:val="000000"/>
                <w:sz w:val="24"/>
                <w:highlight w:val="none"/>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29FBFB69">
            <w:pPr>
              <w:jc w:val="center"/>
              <w:rPr>
                <w:rFonts w:hint="eastAsia" w:ascii="仿宋" w:hAnsi="仿宋" w:eastAsia="仿宋" w:cs="仿宋"/>
                <w:color w:val="000000"/>
                <w:sz w:val="24"/>
                <w:highlight w:val="none"/>
              </w:rPr>
            </w:pPr>
          </w:p>
        </w:tc>
      </w:tr>
      <w:tr w14:paraId="5A37E0CC">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57A0150A">
            <w:pPr>
              <w:jc w:val="center"/>
              <w:rPr>
                <w:rFonts w:hint="eastAsia" w:ascii="仿宋" w:hAnsi="仿宋" w:eastAsia="仿宋" w:cs="仿宋"/>
                <w:b/>
                <w:bCs/>
                <w:color w:val="000000"/>
                <w:sz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5CB8EB9F">
            <w:pPr>
              <w:jc w:val="center"/>
              <w:rPr>
                <w:rFonts w:hint="eastAsia" w:ascii="仿宋" w:hAnsi="仿宋" w:eastAsia="仿宋" w:cs="仿宋"/>
                <w:b/>
                <w:bCs/>
                <w:color w:val="000000"/>
                <w:sz w:val="24"/>
                <w:highlight w:val="none"/>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1C314C46">
            <w:pPr>
              <w:jc w:val="center"/>
              <w:rPr>
                <w:rFonts w:hint="eastAsia" w:ascii="仿宋" w:hAnsi="仿宋" w:eastAsia="仿宋" w:cs="仿宋"/>
                <w:color w:val="000000"/>
                <w:sz w:val="24"/>
                <w:highlight w:val="none"/>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49C3AFE3">
            <w:pPr>
              <w:jc w:val="center"/>
              <w:rPr>
                <w:rFonts w:hint="eastAsia" w:ascii="仿宋" w:hAnsi="仿宋" w:eastAsia="仿宋" w:cs="仿宋"/>
                <w:color w:val="000000"/>
                <w:sz w:val="24"/>
                <w:highlight w:val="none"/>
              </w:rPr>
            </w:pPr>
          </w:p>
        </w:tc>
      </w:tr>
      <w:tr w14:paraId="2C775507">
        <w:tblPrEx>
          <w:tblCellMar>
            <w:top w:w="0" w:type="dxa"/>
            <w:left w:w="108" w:type="dxa"/>
            <w:bottom w:w="0" w:type="dxa"/>
            <w:right w:w="108" w:type="dxa"/>
          </w:tblCellMar>
        </w:tblPrEx>
        <w:trPr>
          <w:trHeight w:val="550" w:hRule="atLeast"/>
        </w:trPr>
        <w:tc>
          <w:tcPr>
            <w:tcW w:w="3839" w:type="dxa"/>
            <w:vMerge w:val="continue"/>
            <w:tcBorders>
              <w:top w:val="single" w:color="000000" w:sz="4" w:space="0"/>
              <w:left w:val="single" w:color="000000" w:sz="4" w:space="0"/>
              <w:bottom w:val="single" w:color="000000" w:sz="4" w:space="0"/>
              <w:right w:val="single" w:color="000000" w:sz="4" w:space="0"/>
            </w:tcBorders>
            <w:noWrap/>
            <w:vAlign w:val="center"/>
          </w:tcPr>
          <w:p w14:paraId="08571414">
            <w:pPr>
              <w:jc w:val="center"/>
              <w:rPr>
                <w:rFonts w:hint="eastAsia" w:ascii="仿宋" w:hAnsi="仿宋" w:eastAsia="仿宋" w:cs="仿宋"/>
                <w:b/>
                <w:bCs/>
                <w:color w:val="000000"/>
                <w:sz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312B304">
            <w:pPr>
              <w:jc w:val="center"/>
              <w:rPr>
                <w:rFonts w:hint="eastAsia" w:ascii="仿宋" w:hAnsi="仿宋" w:eastAsia="仿宋" w:cs="仿宋"/>
                <w:b/>
                <w:bCs/>
                <w:color w:val="000000"/>
                <w:sz w:val="24"/>
                <w:highlight w:val="none"/>
              </w:rPr>
            </w:pPr>
          </w:p>
        </w:tc>
        <w:tc>
          <w:tcPr>
            <w:tcW w:w="4287" w:type="dxa"/>
            <w:gridSpan w:val="2"/>
            <w:tcBorders>
              <w:top w:val="single" w:color="000000" w:sz="4" w:space="0"/>
              <w:left w:val="single" w:color="000000" w:sz="4" w:space="0"/>
              <w:bottom w:val="single" w:color="000000" w:sz="4" w:space="0"/>
              <w:right w:val="single" w:color="000000" w:sz="4" w:space="0"/>
            </w:tcBorders>
            <w:noWrap/>
            <w:vAlign w:val="center"/>
          </w:tcPr>
          <w:p w14:paraId="3638ADD5">
            <w:pPr>
              <w:jc w:val="center"/>
              <w:rPr>
                <w:rFonts w:hint="eastAsia" w:ascii="仿宋" w:hAnsi="仿宋" w:eastAsia="仿宋" w:cs="仿宋"/>
                <w:color w:val="000000"/>
                <w:sz w:val="24"/>
                <w:highlight w:val="none"/>
              </w:rPr>
            </w:pPr>
          </w:p>
        </w:tc>
        <w:tc>
          <w:tcPr>
            <w:tcW w:w="4286" w:type="dxa"/>
            <w:tcBorders>
              <w:top w:val="single" w:color="000000" w:sz="4" w:space="0"/>
              <w:left w:val="single" w:color="000000" w:sz="4" w:space="0"/>
              <w:bottom w:val="single" w:color="000000" w:sz="4" w:space="0"/>
              <w:right w:val="single" w:color="000000" w:sz="4" w:space="0"/>
            </w:tcBorders>
            <w:noWrap/>
            <w:vAlign w:val="center"/>
          </w:tcPr>
          <w:p w14:paraId="5ED3CF23">
            <w:pPr>
              <w:jc w:val="center"/>
              <w:rPr>
                <w:rFonts w:hint="eastAsia" w:ascii="仿宋" w:hAnsi="仿宋" w:eastAsia="仿宋" w:cs="仿宋"/>
                <w:color w:val="000000"/>
                <w:sz w:val="24"/>
                <w:highlight w:val="none"/>
              </w:rPr>
            </w:pPr>
          </w:p>
        </w:tc>
      </w:tr>
      <w:tr w14:paraId="6777BB83">
        <w:tblPrEx>
          <w:tblCellMar>
            <w:top w:w="0" w:type="dxa"/>
            <w:left w:w="108" w:type="dxa"/>
            <w:bottom w:w="0" w:type="dxa"/>
            <w:right w:w="108" w:type="dxa"/>
          </w:tblCellMar>
        </w:tblPrEx>
        <w:trPr>
          <w:trHeight w:val="550" w:hRule="atLeast"/>
        </w:trPr>
        <w:tc>
          <w:tcPr>
            <w:tcW w:w="13820" w:type="dxa"/>
            <w:gridSpan w:val="5"/>
            <w:tcBorders>
              <w:top w:val="nil"/>
              <w:left w:val="nil"/>
              <w:bottom w:val="nil"/>
              <w:right w:val="nil"/>
            </w:tcBorders>
            <w:noWrap/>
            <w:vAlign w:val="center"/>
          </w:tcPr>
          <w:p w14:paraId="2E7BF5D6">
            <w:pPr>
              <w:widowControl/>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移交方：                                                         接收方：</w:t>
            </w:r>
          </w:p>
        </w:tc>
      </w:tr>
      <w:tr w14:paraId="5C59E1EC">
        <w:tblPrEx>
          <w:tblCellMar>
            <w:top w:w="0" w:type="dxa"/>
            <w:left w:w="108" w:type="dxa"/>
            <w:bottom w:w="0" w:type="dxa"/>
            <w:right w:w="108" w:type="dxa"/>
          </w:tblCellMar>
        </w:tblPrEx>
        <w:trPr>
          <w:trHeight w:val="533" w:hRule="atLeast"/>
        </w:trPr>
        <w:tc>
          <w:tcPr>
            <w:tcW w:w="3839" w:type="dxa"/>
            <w:tcBorders>
              <w:top w:val="nil"/>
              <w:left w:val="nil"/>
              <w:bottom w:val="nil"/>
              <w:right w:val="nil"/>
            </w:tcBorders>
            <w:noWrap/>
            <w:vAlign w:val="center"/>
          </w:tcPr>
          <w:p w14:paraId="4BC1F143">
            <w:pPr>
              <w:rPr>
                <w:rFonts w:hint="eastAsia" w:ascii="仿宋" w:hAnsi="仿宋" w:eastAsia="仿宋" w:cs="仿宋"/>
                <w:color w:val="000000"/>
                <w:sz w:val="22"/>
                <w:szCs w:val="22"/>
                <w:highlight w:val="none"/>
              </w:rPr>
            </w:pPr>
          </w:p>
        </w:tc>
        <w:tc>
          <w:tcPr>
            <w:tcW w:w="1408" w:type="dxa"/>
            <w:tcBorders>
              <w:top w:val="nil"/>
              <w:left w:val="nil"/>
              <w:bottom w:val="nil"/>
              <w:right w:val="nil"/>
            </w:tcBorders>
            <w:noWrap/>
            <w:vAlign w:val="center"/>
          </w:tcPr>
          <w:p w14:paraId="2FEFF1BD">
            <w:pPr>
              <w:rPr>
                <w:rFonts w:hint="eastAsia" w:ascii="仿宋" w:hAnsi="仿宋" w:eastAsia="仿宋" w:cs="仿宋"/>
                <w:color w:val="000000"/>
                <w:sz w:val="22"/>
                <w:szCs w:val="22"/>
                <w:highlight w:val="none"/>
              </w:rPr>
            </w:pPr>
          </w:p>
        </w:tc>
        <w:tc>
          <w:tcPr>
            <w:tcW w:w="448" w:type="dxa"/>
            <w:tcBorders>
              <w:top w:val="nil"/>
              <w:left w:val="nil"/>
              <w:bottom w:val="nil"/>
              <w:right w:val="nil"/>
            </w:tcBorders>
            <w:noWrap/>
            <w:vAlign w:val="center"/>
          </w:tcPr>
          <w:p w14:paraId="64591C2C">
            <w:pPr>
              <w:rPr>
                <w:rFonts w:hint="eastAsia" w:ascii="仿宋" w:hAnsi="仿宋" w:eastAsia="仿宋" w:cs="仿宋"/>
                <w:color w:val="000000"/>
                <w:sz w:val="22"/>
                <w:szCs w:val="22"/>
                <w:highlight w:val="none"/>
              </w:rPr>
            </w:pPr>
          </w:p>
        </w:tc>
        <w:tc>
          <w:tcPr>
            <w:tcW w:w="3839" w:type="dxa"/>
            <w:tcBorders>
              <w:top w:val="nil"/>
              <w:left w:val="nil"/>
              <w:bottom w:val="nil"/>
              <w:right w:val="nil"/>
            </w:tcBorders>
            <w:noWrap/>
            <w:vAlign w:val="center"/>
          </w:tcPr>
          <w:p w14:paraId="453D5A6F">
            <w:pPr>
              <w:rPr>
                <w:rFonts w:hint="eastAsia" w:ascii="仿宋" w:hAnsi="仿宋" w:eastAsia="仿宋" w:cs="仿宋"/>
                <w:color w:val="000000"/>
                <w:sz w:val="22"/>
                <w:szCs w:val="22"/>
                <w:highlight w:val="none"/>
              </w:rPr>
            </w:pPr>
          </w:p>
        </w:tc>
        <w:tc>
          <w:tcPr>
            <w:tcW w:w="4286" w:type="dxa"/>
            <w:tcBorders>
              <w:top w:val="nil"/>
              <w:left w:val="nil"/>
              <w:bottom w:val="nil"/>
              <w:right w:val="nil"/>
            </w:tcBorders>
            <w:noWrap/>
            <w:vAlign w:val="center"/>
          </w:tcPr>
          <w:p w14:paraId="574706D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年           月         日</w:t>
            </w:r>
          </w:p>
        </w:tc>
      </w:tr>
    </w:tbl>
    <w:p w14:paraId="39AA61C1">
      <w:pPr>
        <w:rPr>
          <w:rFonts w:ascii="仿宋" w:hAnsi="仿宋" w:eastAsia="仿宋" w:cs="仿宋"/>
          <w:sz w:val="32"/>
          <w:szCs w:val="40"/>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s="仿宋"/>
          <w:sz w:val="32"/>
          <w:szCs w:val="40"/>
          <w:highlight w:val="none"/>
        </w:rPr>
        <w:t>附件二</w:t>
      </w:r>
    </w:p>
    <w:p w14:paraId="658DF28B">
      <w:pPr>
        <w:rPr>
          <w:rFonts w:hint="eastAsia" w:ascii="仿宋" w:hAnsi="仿宋" w:eastAsia="仿宋" w:cs="仿宋"/>
          <w:sz w:val="32"/>
          <w:highlight w:val="none"/>
        </w:rPr>
      </w:pPr>
      <w:r>
        <w:rPr>
          <w:rFonts w:hint="eastAsia" w:ascii="仿宋" w:hAnsi="仿宋" w:eastAsia="仿宋" w:cs="仿宋"/>
          <w:sz w:val="32"/>
          <w:highlight w:val="none"/>
        </w:rPr>
        <w:t>附件三：</w:t>
      </w:r>
    </w:p>
    <w:p w14:paraId="3FF825A3">
      <w:pPr>
        <w:rPr>
          <w:rFonts w:hint="eastAsia" w:ascii="仿宋" w:hAnsi="仿宋" w:eastAsia="仿宋" w:cs="仿宋"/>
          <w:sz w:val="32"/>
          <w:highlight w:val="none"/>
        </w:rPr>
      </w:pPr>
    </w:p>
    <w:p w14:paraId="76A551B1">
      <w:pPr>
        <w:spacing w:line="592" w:lineRule="exact"/>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安全经营管理责任协议书</w:t>
      </w:r>
    </w:p>
    <w:p w14:paraId="0B703452">
      <w:pPr>
        <w:spacing w:line="592"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合同编号：</w:t>
      </w:r>
    </w:p>
    <w:p w14:paraId="3A65C53B">
      <w:pPr>
        <w:spacing w:line="592" w:lineRule="exact"/>
        <w:rPr>
          <w:rFonts w:hint="eastAsia" w:ascii="仿宋" w:hAnsi="仿宋" w:eastAsia="仿宋" w:cs="仿宋"/>
          <w:sz w:val="28"/>
          <w:szCs w:val="28"/>
          <w:highlight w:val="none"/>
          <w:u w:val="single"/>
        </w:rPr>
      </w:pPr>
    </w:p>
    <w:p w14:paraId="0FA96E08">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甲方（出租方）： </w:t>
      </w:r>
      <w:r>
        <w:rPr>
          <w:rFonts w:hint="eastAsia" w:ascii="仿宋" w:hAnsi="仿宋" w:eastAsia="仿宋" w:cs="仿宋"/>
          <w:sz w:val="28"/>
          <w:szCs w:val="28"/>
          <w:highlight w:val="none"/>
          <w:u w:val="single"/>
        </w:rPr>
        <w:t xml:space="preserve">                                   </w:t>
      </w:r>
    </w:p>
    <w:p w14:paraId="4F06DE33">
      <w:pPr>
        <w:spacing w:line="592"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乙方（承租方）： </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sz w:val="28"/>
          <w:szCs w:val="28"/>
          <w:highlight w:val="none"/>
          <w:u w:val="single"/>
        </w:rPr>
        <w:t xml:space="preserve"> </w:t>
      </w:r>
    </w:p>
    <w:p w14:paraId="26738A1F">
      <w:pPr>
        <w:spacing w:line="592" w:lineRule="exact"/>
        <w:ind w:left="120" w:leftChars="57" w:firstLine="560" w:firstLineChars="200"/>
        <w:rPr>
          <w:rFonts w:hint="eastAsia" w:ascii="仿宋" w:hAnsi="仿宋" w:eastAsia="仿宋" w:cs="仿宋"/>
          <w:sz w:val="28"/>
          <w:szCs w:val="28"/>
          <w:highlight w:val="none"/>
        </w:rPr>
      </w:pPr>
    </w:p>
    <w:p w14:paraId="0E21AED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为了贯彻落实《中华人民共和国安全生产法》和《中华人民共和国消防法》，进一步执行“安全第一，预防为主，综合治理”的安全工作方针。在保障人身和财产安全及甲乙双方的合法权益的前提下，明确双方各自的安全管理责任，经甲乙双方共同协商达成一致，签订本协议，并共同遵守执行。 </w:t>
      </w:r>
    </w:p>
    <w:p w14:paraId="5AEC8540">
      <w:pPr>
        <w:spacing w:line="592"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一、</w:t>
      </w:r>
      <w:r>
        <w:rPr>
          <w:rFonts w:hint="eastAsia" w:ascii="仿宋" w:hAnsi="仿宋" w:eastAsia="仿宋" w:cs="仿宋"/>
          <w:sz w:val="28"/>
          <w:szCs w:val="28"/>
          <w:highlight w:val="none"/>
        </w:rPr>
        <w:t>根据“谁使用，谁负责”的安全管理责任原则，甲方将租赁房屋移交给乙方后，租赁房屋的使用、管理、租赁房屋内设施设备和租赁房屋其他配套设施设备的安全责任由乙方承担。</w:t>
      </w:r>
    </w:p>
    <w:p w14:paraId="460F18CF">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二、甲方安全责任、权利和义务：</w:t>
      </w:r>
    </w:p>
    <w:p w14:paraId="0053AD78">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1、甲方作为房屋管理单位，对房屋的质量安全承担以下责任：</w:t>
      </w:r>
    </w:p>
    <w:p w14:paraId="337B8D01">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（1）认真贯彻执行安全法律法规，接受政府安全管理部门对安全管理工作的监督、检查和指导工作。</w:t>
      </w:r>
    </w:p>
    <w:p w14:paraId="2A6D6334">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（2）向乙方移交的租赁房屋质量符合法律规定。</w:t>
      </w:r>
    </w:p>
    <w:p w14:paraId="1600B59C">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2、甲方作为出租方，享有下列权利：</w:t>
      </w:r>
    </w:p>
    <w:p w14:paraId="4D73E7F9">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（1）甲方（在乙方的陪同下）有权进入乙方经营场所进行安全检查，发现安全隐患有权要求乙方及时整改，并将整改的结果书面告知甲方。</w:t>
      </w:r>
    </w:p>
    <w:p w14:paraId="1260C4D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（2）甲方有权对乙方的二次装修方案和装修过程进行审查监督，督促乙方按消防部门审批要求施工，并要求乙方提供消防部门的验收意见书(或消防验收合格证)。</w:t>
      </w:r>
    </w:p>
    <w:p w14:paraId="64F46C5F">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（3）甲方如发现乙方有从事非法生产经营活动时，有权向政府相关部门检举，且有权据此解除《房屋租赁合同》。</w:t>
      </w:r>
    </w:p>
    <w:p w14:paraId="78323A82">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（4）甲方有权对乙方的安全管理工作进行相关的协调与督管。  </w:t>
      </w:r>
    </w:p>
    <w:p w14:paraId="01B0ED6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3、甲方的义务</w:t>
      </w:r>
    </w:p>
    <w:p w14:paraId="777F166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甲方有义务配合相关部门开展安全检查活动，协助相关部门调查安全事故的原因。</w:t>
      </w:r>
    </w:p>
    <w:p w14:paraId="07E76797">
      <w:pPr>
        <w:spacing w:line="592" w:lineRule="exact"/>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三、乙方安全责任、权利和义务：</w:t>
      </w:r>
    </w:p>
    <w:p w14:paraId="2E79E6FA">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在使用租赁房屋过程中，应履行安全生产主体责任，建立健全安全生产管理制度，自觉接受甲方的安全检查和落实甲方的安全整改通知。乙方法定代表人（或负责人）及安全管理具体负责人是乙方的安全生产责任人，对在租赁场所范围内从事的生产经营活动负有下列安全责任：</w:t>
      </w:r>
    </w:p>
    <w:p w14:paraId="31AC3619">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（1）乙方确保从事的生产经营活动在国家安全生产相关法律、行政法规、部门规章、地方性法规、地方政府规章和规范性文件规定范围内进行。</w:t>
      </w:r>
    </w:p>
    <w:p w14:paraId="1FD21FE5">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未经甲方书面同意擅自转租给第三方而产生的一切安全责任由乙方承担，与甲方无关；乙方在其承租的房屋内为从事生产经营活动而找寻的合伙人（或合作人），合伙人（或合作人）的一切安全责任由乙方承担，与甲方无关。</w:t>
      </w:r>
    </w:p>
    <w:p w14:paraId="3575FC19">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（3）乙方在租赁房产内从事生产、仓储、餐饮、娱乐、旅馆等经营活动的，应当在确保依据安全生产相关法律法规的要求，通过消防部门的验收，取得相关合格证件后，方能从事以上生产经营活动。</w:t>
      </w:r>
    </w:p>
    <w:p w14:paraId="46E0E171">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（4）乙方应根据法律法规或规范性文件的规定要求，在经营场所内配置灭火器、灭火毯等消防设施设备，并保证上述设施设备处于可正常使用状态。</w:t>
      </w:r>
    </w:p>
    <w:p w14:paraId="14DD840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（5）乙方应确保消防通道及安全出口的畅通，且不在配电箱、消火栓、灭火器等设备设施前面堆放物品阻塞设备设施的取用。  </w:t>
      </w:r>
    </w:p>
    <w:p w14:paraId="525CF4E1">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（6）乙方租用场所仅用作仓库时，确保不存放易燃易爆危险化学品，并告知甲方所存放的物品的危险特性。</w:t>
      </w:r>
    </w:p>
    <w:p w14:paraId="5D35D4F2">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乙方将租赁场地用作开设餐厅、旅馆、娱乐场所等人员密集场所的，应当确保场所内（除厨房内按法律规定存放少量的瓶装煤气外）不存放易燃易爆危险化学品。生产经营所必需的瓶装煤气须严格按照相关规定的用途和方法正确使用；煤气瓶须按相关规定定期送往技术检测部门进行检测，检测合格方能使用。</w:t>
      </w:r>
    </w:p>
    <w:p w14:paraId="00FF1BA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乙方确保不在租赁场所进行私自隔间、隔楼等违章搭建，严禁“三合一”、“多合一”等现象发生（“三合一”场所指企业员工集体宿舍与生产作业、物资存放的场所相通连的场所；“多合一”场所指集生产加工、储存、经营、生活住宿等为一体的场所)。</w:t>
      </w:r>
    </w:p>
    <w:p w14:paraId="5494F96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（9）乙方确因生产经营需要在场所或仓库内存放少量危险化学品的，应书面通知甲方，在经过甲方书面同意后才可存放，同时告知储存的种类、数量及采取的防范措施。</w:t>
      </w:r>
    </w:p>
    <w:p w14:paraId="7D0368F0">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（10）乙方确保对所承租的场所进行日常安全检查和事故隐患排查治理。如：电线是否裸露、危险化学品的储存和使用是否安全、设备设施是否完好、消防器材是否有效、消防通道和安全出口是否畅通等。</w:t>
      </w:r>
    </w:p>
    <w:p w14:paraId="13449E58">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（11）乙方确保在承租的场所区域内安全使用明火设备及高功率电热器具，不乱拉乱接电线，严禁超负荷用电。</w:t>
      </w:r>
    </w:p>
    <w:p w14:paraId="5C5CDF3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（12）乙方确保主要负责人、安全管理人员、特种作业操作人员经专门机构培训合格后持证上岗。</w:t>
      </w:r>
    </w:p>
    <w:p w14:paraId="4CF220B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（13）乙方确保对其场所内存在的危险有害因素进行安全标识及告知其员工，并进行全员安全培训，使全员具备本岗位的安全生产知识和技能。</w:t>
      </w:r>
    </w:p>
    <w:p w14:paraId="5BB4C32C">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（14）乙方确保建立安全生产事故应急救援预案并定期组织演练。</w:t>
      </w:r>
    </w:p>
    <w:p w14:paraId="2D6145A4">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（15）针对租赁房屋内的电梯、锅炉等特种设备和与租赁房屋配套使用的变压器等特种设备，由乙方负责租赁期限内的安全维护和管理工作。</w:t>
      </w:r>
    </w:p>
    <w:p w14:paraId="618EBB94">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2、乙方作为承租方，享有下列权利：</w:t>
      </w:r>
    </w:p>
    <w:p w14:paraId="46100B1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（1）乙方有权利对甲方提供的租赁场所内的配套设施设备进行检查验收和确认，并负责对该部分设施设备进行日常安全管理和维护。</w:t>
      </w:r>
    </w:p>
    <w:p w14:paraId="543E5314">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（2）乙方发现房屋质量有安全隐患存在时，有权要求甲方协助乙方进行整改，并积极配合采取有效的整改措施。  </w:t>
      </w:r>
    </w:p>
    <w:p w14:paraId="3EC996E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当隐患无法排除时，乙方应向地方安全监督管理部门及相关政府部门汇报，并停止生产经营活动。</w:t>
      </w:r>
    </w:p>
    <w:p w14:paraId="539300E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3、乙方作为承租方，有下列义务：  </w:t>
      </w:r>
    </w:p>
    <w:p w14:paraId="4A56177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（1）乙方在接收房屋时应尽到严格的验收义务，并将房屋存在的安全隐患问题在接收房屋后两日内及时书面告知甲方，否则视为乙方在接收租赁房屋时，房屋不存在任何安全隐患。</w:t>
      </w:r>
    </w:p>
    <w:p w14:paraId="6FF0CFA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（2）乙方有义务积极配合政府相关部门的安全执法检查，并对检查中指出的问题在限定的时间内进行整改，否则由此产生后果由乙方自行承担。 </w:t>
      </w:r>
    </w:p>
    <w:p w14:paraId="696C6E6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（3）乙方有义务全力配合并参加甲方组织开展的安全活动及事故应急救援预案演练等。  </w:t>
      </w:r>
    </w:p>
    <w:p w14:paraId="33B7C5D2">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（4）乙方有义务开展经常性的安全教育培训，以及参加安全宣传教育活动。</w:t>
      </w:r>
    </w:p>
    <w:p w14:paraId="46978029">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（5）发生安全事故等险情时乙方有义务及时报告相关部门，同时立即通报甲方，并配合和协助相关部门的调查。</w:t>
      </w:r>
    </w:p>
    <w:p w14:paraId="553685F9">
      <w:pPr>
        <w:spacing w:line="592"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四、违约责任：</w:t>
      </w:r>
    </w:p>
    <w:p w14:paraId="0FFB6C7F">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1、如因甲方原因，造成乙方损失的，甲方应给予乙方相应赔偿，乙方有权要求甲方及时整改。</w:t>
      </w:r>
    </w:p>
    <w:p w14:paraId="09194394">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2、如因乙方原因，造成甲方损失的，乙方应立即整改，并给予甲方相应赔偿。 </w:t>
      </w:r>
    </w:p>
    <w:p w14:paraId="62729E29">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甲方查出乙方违反协议约定内容经营存在安全隐患的，乙方必须在甲方限定期限内整改恢复、消除隐患；逾期拒不整改的，甲方有权对乙方逾期未整改的租赁场所进行停水、停电措施，甲方同时有权解除《房屋租赁合同》及本协议，乙方支付的全部履约保证金作为违约金扣除不再退还，因此产生的损失仍全部由乙方承担。</w:t>
      </w:r>
    </w:p>
    <w:p w14:paraId="09289B72">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因乙方管理不善、操作不当、擅自变动房屋结构等原因造成安全事故的，甲方有权解除《房屋租赁合同》及本协议，乙方支付的全部履约保证金作为违约金扣除不再退还，同时乙方须承担安全事故责任和赔偿相关损失，乙方还应负责组织维修、恢复原状（需经检验合格），并承担因维修、检验等产生的一切费用。修缮后须将相关部门的安全检验合格报告提供一份给甲方。</w:t>
      </w:r>
    </w:p>
    <w:p w14:paraId="13D130F0">
      <w:pPr>
        <w:spacing w:line="592" w:lineRule="exact"/>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五、</w:t>
      </w:r>
      <w:r>
        <w:rPr>
          <w:rFonts w:hint="eastAsia" w:ascii="仿宋" w:hAnsi="仿宋" w:eastAsia="仿宋" w:cs="仿宋"/>
          <w:sz w:val="28"/>
          <w:szCs w:val="28"/>
          <w:highlight w:val="none"/>
        </w:rPr>
        <w:t>本协议未尽事宜，按照《中华人民共和国消防法》、《中华人民共和国安全生产法》等相关法律法规、地方性法规、地方政府规章和相关规范性文件处理。</w:t>
      </w:r>
    </w:p>
    <w:p w14:paraId="01D0F5EE">
      <w:pPr>
        <w:spacing w:line="592" w:lineRule="exact"/>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六、</w:t>
      </w:r>
      <w:r>
        <w:rPr>
          <w:rFonts w:hint="eastAsia" w:ascii="仿宋" w:hAnsi="仿宋" w:eastAsia="仿宋" w:cs="仿宋"/>
          <w:sz w:val="28"/>
          <w:szCs w:val="28"/>
          <w:highlight w:val="none"/>
        </w:rPr>
        <w:t>本协议自甲方法定代表人签字或加盖公章/合同专用章和乙方签字或盖章后生效。本协议一式伍份，甲方持有叁份，乙方持有贰份，均具有相同法律效力。</w:t>
      </w:r>
    </w:p>
    <w:p w14:paraId="63F18B44">
      <w:pPr>
        <w:spacing w:line="592"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七、</w:t>
      </w:r>
      <w:r>
        <w:rPr>
          <w:rFonts w:hint="eastAsia" w:ascii="仿宋" w:hAnsi="仿宋" w:eastAsia="仿宋" w:cs="仿宋"/>
          <w:sz w:val="28"/>
          <w:szCs w:val="28"/>
          <w:highlight w:val="none"/>
        </w:rPr>
        <w:t>本协议作为《房屋租赁合同》的有效组成部分，与《房屋租赁合同》具有同等法律效力。</w:t>
      </w:r>
    </w:p>
    <w:p w14:paraId="13A3B525">
      <w:pPr>
        <w:spacing w:line="592" w:lineRule="exact"/>
        <w:rPr>
          <w:rFonts w:hint="eastAsia" w:ascii="仿宋" w:hAnsi="仿宋" w:eastAsia="仿宋" w:cs="仿宋"/>
          <w:sz w:val="28"/>
          <w:szCs w:val="28"/>
          <w:highlight w:val="none"/>
        </w:rPr>
      </w:pPr>
    </w:p>
    <w:p w14:paraId="1762BBBC">
      <w:pPr>
        <w:spacing w:line="592" w:lineRule="exact"/>
        <w:rPr>
          <w:rFonts w:hint="eastAsia" w:ascii="仿宋" w:hAnsi="仿宋" w:eastAsia="仿宋" w:cs="仿宋"/>
          <w:sz w:val="28"/>
          <w:szCs w:val="28"/>
          <w:highlight w:val="none"/>
        </w:rPr>
      </w:pPr>
    </w:p>
    <w:p w14:paraId="07B9C790">
      <w:pPr>
        <w:spacing w:line="592" w:lineRule="exact"/>
        <w:ind w:firstLine="420" w:firstLineChars="150"/>
        <w:rPr>
          <w:rFonts w:hint="eastAsia" w:ascii="仿宋" w:hAnsi="仿宋" w:eastAsia="仿宋" w:cs="仿宋"/>
          <w:sz w:val="28"/>
          <w:szCs w:val="28"/>
          <w:highlight w:val="none"/>
        </w:rPr>
      </w:pPr>
      <w:r>
        <w:rPr>
          <w:rFonts w:hint="eastAsia" w:ascii="仿宋" w:hAnsi="仿宋" w:eastAsia="仿宋" w:cs="仿宋"/>
          <w:sz w:val="28"/>
          <w:szCs w:val="28"/>
          <w:highlight w:val="none"/>
        </w:rPr>
        <w:t>甲方：                          乙方：</w:t>
      </w:r>
    </w:p>
    <w:p w14:paraId="7CBA2163">
      <w:pPr>
        <w:spacing w:line="592" w:lineRule="exact"/>
        <w:ind w:firstLine="4900" w:firstLineChars="1750"/>
        <w:rPr>
          <w:rFonts w:hint="eastAsia" w:ascii="仿宋" w:hAnsi="仿宋" w:eastAsia="仿宋" w:cs="仿宋"/>
          <w:sz w:val="28"/>
          <w:szCs w:val="28"/>
          <w:highlight w:val="none"/>
        </w:rPr>
      </w:pPr>
    </w:p>
    <w:p w14:paraId="43F7BB46">
      <w:pPr>
        <w:spacing w:line="592" w:lineRule="exact"/>
        <w:ind w:firstLine="4900" w:firstLineChars="175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7F14BF2">
      <w:pPr>
        <w:spacing w:line="592" w:lineRule="exact"/>
        <w:rPr>
          <w:rFonts w:hint="eastAsia" w:ascii="仿宋" w:hAnsi="仿宋" w:eastAsia="仿宋" w:cs="仿宋"/>
          <w:highlight w:val="none"/>
        </w:rPr>
      </w:pPr>
    </w:p>
    <w:p w14:paraId="18C57698">
      <w:pPr>
        <w:pStyle w:val="4"/>
        <w:shd w:val="clear" w:color="auto" w:fill="FFFFFF"/>
        <w:spacing w:line="360" w:lineRule="atLeast"/>
        <w:rPr>
          <w:rFonts w:hint="eastAsia" w:ascii="仿宋" w:hAnsi="仿宋" w:eastAsia="仿宋" w:cs="仿宋"/>
          <w:sz w:val="32"/>
          <w:highlight w:val="none"/>
        </w:rPr>
      </w:pPr>
    </w:p>
    <w:p w14:paraId="5AC8AF78">
      <w:pPr>
        <w:pStyle w:val="4"/>
        <w:shd w:val="clear" w:color="auto" w:fill="FFFFFF"/>
        <w:spacing w:line="360" w:lineRule="atLeast"/>
        <w:rPr>
          <w:rFonts w:hint="eastAsia" w:ascii="仿宋" w:hAnsi="仿宋" w:eastAsia="仿宋" w:cs="仿宋"/>
          <w:sz w:val="32"/>
          <w:highlight w:val="none"/>
        </w:rPr>
      </w:pPr>
    </w:p>
    <w:p w14:paraId="18C54BAC">
      <w:pPr>
        <w:rPr>
          <w:rFonts w:hint="eastAsia" w:ascii="仿宋" w:hAnsi="仿宋" w:eastAsia="仿宋" w:cs="仿宋"/>
          <w:sz w:val="32"/>
          <w:highlight w:val="none"/>
        </w:rPr>
      </w:pPr>
    </w:p>
    <w:p w14:paraId="4CBD129E">
      <w:pPr>
        <w:rPr>
          <w:rFonts w:hint="eastAsia" w:ascii="仿宋" w:hAnsi="仿宋" w:eastAsia="仿宋" w:cs="仿宋"/>
          <w:sz w:val="32"/>
          <w:highlight w:val="none"/>
        </w:rPr>
      </w:pPr>
      <w:bookmarkStart w:id="1" w:name="_GoBack"/>
      <w:bookmarkEnd w:id="1"/>
      <w:r>
        <w:rPr>
          <w:rFonts w:hint="eastAsia" w:ascii="仿宋" w:hAnsi="仿宋" w:eastAsia="仿宋" w:cs="仿宋"/>
          <w:sz w:val="32"/>
          <w:highlight w:val="none"/>
        </w:rPr>
        <w:t>附件四：</w:t>
      </w:r>
    </w:p>
    <w:p w14:paraId="0858E3D1">
      <w:pPr>
        <w:spacing w:line="592" w:lineRule="exact"/>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租金明细表（已扣除免租期间租金金额）</w:t>
      </w:r>
    </w:p>
    <w:p w14:paraId="498EA3B1">
      <w:pPr>
        <w:pStyle w:val="2"/>
        <w:rPr>
          <w:rFonts w:hint="eastAsia"/>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6"/>
        <w:gridCol w:w="3286"/>
      </w:tblGrid>
      <w:tr w14:paraId="0E0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7F882B4B">
            <w:pPr>
              <w:spacing w:line="592"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租金期间</w:t>
            </w:r>
          </w:p>
        </w:tc>
        <w:tc>
          <w:tcPr>
            <w:tcW w:w="3286" w:type="dxa"/>
            <w:noWrap w:val="0"/>
            <w:vAlign w:val="top"/>
          </w:tcPr>
          <w:p w14:paraId="7FD1A3A9">
            <w:pPr>
              <w:spacing w:line="592"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金额（元）</w:t>
            </w:r>
          </w:p>
        </w:tc>
      </w:tr>
      <w:tr w14:paraId="4DEC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5C7B1420">
            <w:pPr>
              <w:spacing w:line="592" w:lineRule="exact"/>
              <w:jc w:val="center"/>
              <w:rPr>
                <w:rFonts w:ascii="仿宋" w:hAnsi="仿宋" w:eastAsia="仿宋"/>
                <w:sz w:val="28"/>
                <w:szCs w:val="28"/>
                <w:highlight w:val="none"/>
              </w:rPr>
            </w:pPr>
          </w:p>
        </w:tc>
        <w:tc>
          <w:tcPr>
            <w:tcW w:w="3286" w:type="dxa"/>
            <w:noWrap w:val="0"/>
            <w:vAlign w:val="top"/>
          </w:tcPr>
          <w:p w14:paraId="0EC5D35B">
            <w:pPr>
              <w:spacing w:line="592" w:lineRule="exact"/>
              <w:jc w:val="center"/>
              <w:rPr>
                <w:rFonts w:ascii="仿宋" w:hAnsi="仿宋" w:eastAsia="仿宋"/>
                <w:sz w:val="28"/>
                <w:szCs w:val="28"/>
                <w:highlight w:val="none"/>
              </w:rPr>
            </w:pPr>
          </w:p>
        </w:tc>
      </w:tr>
      <w:tr w14:paraId="48B4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5C3F1E3F">
            <w:pPr>
              <w:spacing w:line="592" w:lineRule="exact"/>
              <w:jc w:val="center"/>
              <w:rPr>
                <w:rFonts w:ascii="仿宋" w:hAnsi="仿宋" w:eastAsia="仿宋"/>
                <w:sz w:val="28"/>
                <w:szCs w:val="28"/>
                <w:highlight w:val="none"/>
              </w:rPr>
            </w:pPr>
          </w:p>
        </w:tc>
        <w:tc>
          <w:tcPr>
            <w:tcW w:w="3286" w:type="dxa"/>
            <w:noWrap w:val="0"/>
            <w:vAlign w:val="top"/>
          </w:tcPr>
          <w:p w14:paraId="32730C77">
            <w:pPr>
              <w:spacing w:line="592" w:lineRule="exact"/>
              <w:jc w:val="center"/>
              <w:rPr>
                <w:rFonts w:ascii="仿宋" w:hAnsi="仿宋" w:eastAsia="仿宋"/>
                <w:sz w:val="28"/>
                <w:szCs w:val="28"/>
                <w:highlight w:val="none"/>
              </w:rPr>
            </w:pPr>
          </w:p>
        </w:tc>
      </w:tr>
      <w:tr w14:paraId="7266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236" w:type="dxa"/>
            <w:noWrap w:val="0"/>
            <w:vAlign w:val="top"/>
          </w:tcPr>
          <w:p w14:paraId="220EF6D8">
            <w:pPr>
              <w:spacing w:line="592" w:lineRule="exact"/>
              <w:jc w:val="center"/>
              <w:rPr>
                <w:rFonts w:hint="eastAsia" w:ascii="仿宋" w:hAnsi="仿宋" w:eastAsia="仿宋"/>
                <w:sz w:val="28"/>
                <w:szCs w:val="28"/>
                <w:highlight w:val="none"/>
              </w:rPr>
            </w:pPr>
          </w:p>
        </w:tc>
        <w:tc>
          <w:tcPr>
            <w:tcW w:w="3286" w:type="dxa"/>
            <w:noWrap w:val="0"/>
            <w:vAlign w:val="top"/>
          </w:tcPr>
          <w:p w14:paraId="143ABC5F">
            <w:pPr>
              <w:spacing w:line="592" w:lineRule="exact"/>
              <w:jc w:val="center"/>
              <w:rPr>
                <w:rFonts w:ascii="仿宋" w:hAnsi="仿宋" w:eastAsia="仿宋"/>
                <w:sz w:val="28"/>
                <w:szCs w:val="28"/>
                <w:highlight w:val="none"/>
              </w:rPr>
            </w:pPr>
          </w:p>
        </w:tc>
      </w:tr>
      <w:tr w14:paraId="3596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63E46D2E">
            <w:pPr>
              <w:spacing w:line="592" w:lineRule="exact"/>
              <w:jc w:val="center"/>
              <w:rPr>
                <w:rFonts w:hint="eastAsia" w:ascii="仿宋" w:hAnsi="仿宋" w:eastAsia="仿宋"/>
                <w:sz w:val="28"/>
                <w:szCs w:val="28"/>
                <w:highlight w:val="none"/>
              </w:rPr>
            </w:pPr>
          </w:p>
        </w:tc>
        <w:tc>
          <w:tcPr>
            <w:tcW w:w="3286" w:type="dxa"/>
            <w:noWrap w:val="0"/>
            <w:vAlign w:val="top"/>
          </w:tcPr>
          <w:p w14:paraId="5D370E85">
            <w:pPr>
              <w:spacing w:line="592" w:lineRule="exact"/>
              <w:jc w:val="center"/>
              <w:rPr>
                <w:rFonts w:ascii="仿宋" w:hAnsi="仿宋" w:eastAsia="仿宋"/>
                <w:sz w:val="28"/>
                <w:szCs w:val="28"/>
                <w:highlight w:val="none"/>
              </w:rPr>
            </w:pPr>
          </w:p>
        </w:tc>
      </w:tr>
      <w:tr w14:paraId="61D6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09EA54FD">
            <w:pPr>
              <w:spacing w:line="592" w:lineRule="exact"/>
              <w:jc w:val="center"/>
              <w:rPr>
                <w:rFonts w:hint="eastAsia" w:ascii="仿宋" w:hAnsi="仿宋" w:eastAsia="仿宋"/>
                <w:sz w:val="28"/>
                <w:szCs w:val="28"/>
                <w:highlight w:val="none"/>
              </w:rPr>
            </w:pPr>
          </w:p>
        </w:tc>
        <w:tc>
          <w:tcPr>
            <w:tcW w:w="3286" w:type="dxa"/>
            <w:noWrap w:val="0"/>
            <w:vAlign w:val="top"/>
          </w:tcPr>
          <w:p w14:paraId="545729B7">
            <w:pPr>
              <w:spacing w:line="592" w:lineRule="exact"/>
              <w:jc w:val="center"/>
              <w:rPr>
                <w:rFonts w:ascii="仿宋" w:hAnsi="仿宋" w:eastAsia="仿宋"/>
                <w:sz w:val="28"/>
                <w:szCs w:val="28"/>
                <w:highlight w:val="none"/>
              </w:rPr>
            </w:pPr>
          </w:p>
        </w:tc>
      </w:tr>
      <w:tr w14:paraId="7534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682FA062">
            <w:pPr>
              <w:spacing w:line="592" w:lineRule="exact"/>
              <w:jc w:val="center"/>
              <w:rPr>
                <w:rFonts w:hint="eastAsia" w:ascii="仿宋" w:hAnsi="仿宋" w:eastAsia="仿宋"/>
                <w:sz w:val="28"/>
                <w:szCs w:val="28"/>
                <w:highlight w:val="none"/>
              </w:rPr>
            </w:pPr>
          </w:p>
        </w:tc>
        <w:tc>
          <w:tcPr>
            <w:tcW w:w="3286" w:type="dxa"/>
            <w:noWrap w:val="0"/>
            <w:vAlign w:val="top"/>
          </w:tcPr>
          <w:p w14:paraId="30DEEACB">
            <w:pPr>
              <w:spacing w:line="592" w:lineRule="exact"/>
              <w:jc w:val="center"/>
              <w:rPr>
                <w:rFonts w:hint="eastAsia" w:ascii="仿宋" w:hAnsi="仿宋" w:eastAsia="仿宋"/>
                <w:sz w:val="28"/>
                <w:szCs w:val="28"/>
                <w:highlight w:val="none"/>
              </w:rPr>
            </w:pPr>
          </w:p>
        </w:tc>
      </w:tr>
      <w:tr w14:paraId="2D96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720B7BE3">
            <w:pPr>
              <w:spacing w:line="592" w:lineRule="exact"/>
              <w:jc w:val="center"/>
              <w:rPr>
                <w:rFonts w:hint="eastAsia" w:ascii="仿宋" w:hAnsi="仿宋" w:eastAsia="仿宋"/>
                <w:sz w:val="28"/>
                <w:szCs w:val="28"/>
                <w:highlight w:val="none"/>
              </w:rPr>
            </w:pPr>
          </w:p>
        </w:tc>
        <w:tc>
          <w:tcPr>
            <w:tcW w:w="3286" w:type="dxa"/>
            <w:noWrap w:val="0"/>
            <w:vAlign w:val="top"/>
          </w:tcPr>
          <w:p w14:paraId="607C274B">
            <w:pPr>
              <w:spacing w:line="592" w:lineRule="exact"/>
              <w:jc w:val="center"/>
              <w:rPr>
                <w:rFonts w:ascii="仿宋" w:hAnsi="仿宋" w:eastAsia="仿宋"/>
                <w:sz w:val="28"/>
                <w:szCs w:val="28"/>
                <w:highlight w:val="none"/>
              </w:rPr>
            </w:pPr>
          </w:p>
        </w:tc>
      </w:tr>
      <w:tr w14:paraId="0D4F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6918E8C7">
            <w:pPr>
              <w:spacing w:line="592" w:lineRule="exact"/>
              <w:jc w:val="center"/>
              <w:rPr>
                <w:rFonts w:hint="eastAsia" w:ascii="仿宋" w:hAnsi="仿宋" w:eastAsia="仿宋"/>
                <w:sz w:val="28"/>
                <w:szCs w:val="28"/>
                <w:highlight w:val="none"/>
              </w:rPr>
            </w:pPr>
          </w:p>
        </w:tc>
        <w:tc>
          <w:tcPr>
            <w:tcW w:w="3286" w:type="dxa"/>
            <w:noWrap w:val="0"/>
            <w:vAlign w:val="top"/>
          </w:tcPr>
          <w:p w14:paraId="7595E62E">
            <w:pPr>
              <w:spacing w:line="592" w:lineRule="exact"/>
              <w:jc w:val="center"/>
              <w:rPr>
                <w:rFonts w:ascii="仿宋" w:hAnsi="仿宋" w:eastAsia="仿宋"/>
                <w:sz w:val="28"/>
                <w:szCs w:val="28"/>
                <w:highlight w:val="none"/>
              </w:rPr>
            </w:pPr>
          </w:p>
        </w:tc>
      </w:tr>
      <w:tr w14:paraId="7889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257EB898">
            <w:pPr>
              <w:spacing w:line="592" w:lineRule="exact"/>
              <w:jc w:val="center"/>
              <w:rPr>
                <w:rFonts w:hint="eastAsia" w:ascii="仿宋" w:hAnsi="仿宋" w:eastAsia="仿宋"/>
                <w:sz w:val="28"/>
                <w:szCs w:val="28"/>
                <w:highlight w:val="none"/>
              </w:rPr>
            </w:pPr>
          </w:p>
        </w:tc>
        <w:tc>
          <w:tcPr>
            <w:tcW w:w="3286" w:type="dxa"/>
            <w:noWrap w:val="0"/>
            <w:vAlign w:val="top"/>
          </w:tcPr>
          <w:p w14:paraId="4A7ADB20">
            <w:pPr>
              <w:spacing w:line="592" w:lineRule="exact"/>
              <w:jc w:val="center"/>
              <w:rPr>
                <w:rFonts w:ascii="仿宋" w:hAnsi="仿宋" w:eastAsia="仿宋"/>
                <w:sz w:val="28"/>
                <w:szCs w:val="28"/>
                <w:highlight w:val="none"/>
              </w:rPr>
            </w:pPr>
          </w:p>
        </w:tc>
      </w:tr>
      <w:tr w14:paraId="4E07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5BF3E78A">
            <w:pPr>
              <w:spacing w:line="592" w:lineRule="exact"/>
              <w:jc w:val="center"/>
              <w:rPr>
                <w:rFonts w:hint="eastAsia" w:ascii="仿宋" w:hAnsi="仿宋" w:eastAsia="仿宋"/>
                <w:sz w:val="28"/>
                <w:szCs w:val="28"/>
                <w:highlight w:val="none"/>
              </w:rPr>
            </w:pPr>
          </w:p>
        </w:tc>
        <w:tc>
          <w:tcPr>
            <w:tcW w:w="3286" w:type="dxa"/>
            <w:noWrap w:val="0"/>
            <w:vAlign w:val="top"/>
          </w:tcPr>
          <w:p w14:paraId="4904EA81">
            <w:pPr>
              <w:spacing w:line="592" w:lineRule="exact"/>
              <w:jc w:val="center"/>
              <w:rPr>
                <w:rFonts w:hint="eastAsia" w:ascii="仿宋" w:hAnsi="仿宋" w:eastAsia="仿宋"/>
                <w:sz w:val="28"/>
                <w:szCs w:val="28"/>
                <w:highlight w:val="none"/>
              </w:rPr>
            </w:pPr>
          </w:p>
        </w:tc>
      </w:tr>
      <w:tr w14:paraId="2357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7562412F">
            <w:pPr>
              <w:spacing w:line="592" w:lineRule="exact"/>
              <w:jc w:val="center"/>
              <w:rPr>
                <w:rFonts w:hint="eastAsia" w:ascii="仿宋" w:hAnsi="仿宋" w:eastAsia="仿宋"/>
                <w:color w:val="0000FF"/>
                <w:sz w:val="28"/>
                <w:szCs w:val="28"/>
                <w:highlight w:val="none"/>
              </w:rPr>
            </w:pPr>
          </w:p>
        </w:tc>
        <w:tc>
          <w:tcPr>
            <w:tcW w:w="3286" w:type="dxa"/>
            <w:noWrap w:val="0"/>
            <w:vAlign w:val="top"/>
          </w:tcPr>
          <w:p w14:paraId="19D111B1">
            <w:pPr>
              <w:spacing w:line="592" w:lineRule="exact"/>
              <w:jc w:val="center"/>
              <w:rPr>
                <w:rFonts w:ascii="仿宋" w:hAnsi="仿宋" w:eastAsia="仿宋"/>
                <w:color w:val="0000FF"/>
                <w:sz w:val="28"/>
                <w:szCs w:val="28"/>
                <w:highlight w:val="none"/>
              </w:rPr>
            </w:pPr>
          </w:p>
        </w:tc>
      </w:tr>
      <w:tr w14:paraId="5019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7B8FB29B">
            <w:pPr>
              <w:spacing w:line="592" w:lineRule="exact"/>
              <w:jc w:val="center"/>
              <w:rPr>
                <w:rFonts w:hint="eastAsia" w:ascii="仿宋" w:hAnsi="仿宋" w:eastAsia="仿宋"/>
                <w:sz w:val="28"/>
                <w:szCs w:val="28"/>
                <w:highlight w:val="none"/>
              </w:rPr>
            </w:pPr>
          </w:p>
        </w:tc>
        <w:tc>
          <w:tcPr>
            <w:tcW w:w="3286" w:type="dxa"/>
            <w:noWrap w:val="0"/>
            <w:vAlign w:val="top"/>
          </w:tcPr>
          <w:p w14:paraId="3E9B6478">
            <w:pPr>
              <w:spacing w:line="592" w:lineRule="exact"/>
              <w:jc w:val="center"/>
              <w:rPr>
                <w:rFonts w:hint="eastAsia" w:ascii="仿宋" w:hAnsi="仿宋" w:eastAsia="仿宋"/>
                <w:sz w:val="28"/>
                <w:szCs w:val="28"/>
                <w:highlight w:val="none"/>
              </w:rPr>
            </w:pPr>
          </w:p>
        </w:tc>
      </w:tr>
      <w:tr w14:paraId="69FE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488C1B20">
            <w:pPr>
              <w:spacing w:line="592" w:lineRule="exact"/>
              <w:jc w:val="center"/>
              <w:rPr>
                <w:rFonts w:hint="eastAsia" w:ascii="仿宋" w:hAnsi="仿宋" w:eastAsia="仿宋"/>
                <w:sz w:val="28"/>
                <w:szCs w:val="28"/>
                <w:highlight w:val="none"/>
              </w:rPr>
            </w:pPr>
          </w:p>
        </w:tc>
        <w:tc>
          <w:tcPr>
            <w:tcW w:w="3286" w:type="dxa"/>
            <w:noWrap w:val="0"/>
            <w:vAlign w:val="top"/>
          </w:tcPr>
          <w:p w14:paraId="5EAA5091">
            <w:pPr>
              <w:spacing w:line="592" w:lineRule="exact"/>
              <w:jc w:val="center"/>
              <w:rPr>
                <w:rFonts w:ascii="仿宋" w:hAnsi="仿宋" w:eastAsia="仿宋"/>
                <w:sz w:val="28"/>
                <w:szCs w:val="28"/>
                <w:highlight w:val="none"/>
              </w:rPr>
            </w:pPr>
          </w:p>
        </w:tc>
      </w:tr>
      <w:tr w14:paraId="54D9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08935B2F">
            <w:pPr>
              <w:spacing w:line="592" w:lineRule="exact"/>
              <w:jc w:val="center"/>
              <w:rPr>
                <w:rFonts w:hint="eastAsia" w:ascii="仿宋" w:hAnsi="仿宋" w:eastAsia="仿宋"/>
                <w:sz w:val="28"/>
                <w:szCs w:val="28"/>
                <w:highlight w:val="none"/>
              </w:rPr>
            </w:pPr>
          </w:p>
        </w:tc>
        <w:tc>
          <w:tcPr>
            <w:tcW w:w="3286" w:type="dxa"/>
            <w:noWrap w:val="0"/>
            <w:vAlign w:val="top"/>
          </w:tcPr>
          <w:p w14:paraId="13408E0B">
            <w:pPr>
              <w:spacing w:line="592" w:lineRule="exact"/>
              <w:jc w:val="center"/>
              <w:rPr>
                <w:rFonts w:ascii="仿宋" w:hAnsi="仿宋" w:eastAsia="仿宋"/>
                <w:sz w:val="28"/>
                <w:szCs w:val="28"/>
                <w:highlight w:val="none"/>
              </w:rPr>
            </w:pPr>
          </w:p>
        </w:tc>
      </w:tr>
      <w:tr w14:paraId="40C0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3617E9BA">
            <w:pPr>
              <w:spacing w:line="592" w:lineRule="exact"/>
              <w:jc w:val="center"/>
              <w:rPr>
                <w:rFonts w:hint="eastAsia" w:ascii="仿宋" w:hAnsi="仿宋" w:eastAsia="仿宋"/>
                <w:sz w:val="28"/>
                <w:szCs w:val="28"/>
                <w:highlight w:val="none"/>
              </w:rPr>
            </w:pPr>
          </w:p>
        </w:tc>
        <w:tc>
          <w:tcPr>
            <w:tcW w:w="3286" w:type="dxa"/>
            <w:noWrap w:val="0"/>
            <w:vAlign w:val="top"/>
          </w:tcPr>
          <w:p w14:paraId="3952FD24">
            <w:pPr>
              <w:spacing w:line="592" w:lineRule="exact"/>
              <w:jc w:val="center"/>
              <w:rPr>
                <w:rFonts w:hint="eastAsia" w:ascii="仿宋" w:hAnsi="仿宋" w:eastAsia="仿宋"/>
                <w:sz w:val="28"/>
                <w:szCs w:val="28"/>
                <w:highlight w:val="none"/>
              </w:rPr>
            </w:pPr>
          </w:p>
        </w:tc>
      </w:tr>
      <w:tr w14:paraId="25CC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71A00250">
            <w:pPr>
              <w:spacing w:line="592" w:lineRule="exact"/>
              <w:jc w:val="center"/>
              <w:rPr>
                <w:rFonts w:hint="eastAsia" w:ascii="仿宋" w:hAnsi="仿宋" w:eastAsia="仿宋"/>
                <w:sz w:val="28"/>
                <w:szCs w:val="28"/>
                <w:highlight w:val="none"/>
              </w:rPr>
            </w:pPr>
          </w:p>
        </w:tc>
        <w:tc>
          <w:tcPr>
            <w:tcW w:w="3286" w:type="dxa"/>
            <w:noWrap w:val="0"/>
            <w:vAlign w:val="top"/>
          </w:tcPr>
          <w:p w14:paraId="23DC1B2A">
            <w:pPr>
              <w:spacing w:line="592" w:lineRule="exact"/>
              <w:jc w:val="center"/>
              <w:rPr>
                <w:rFonts w:hint="eastAsia" w:ascii="仿宋" w:hAnsi="仿宋" w:eastAsia="仿宋"/>
                <w:sz w:val="28"/>
                <w:szCs w:val="28"/>
                <w:highlight w:val="none"/>
              </w:rPr>
            </w:pPr>
          </w:p>
        </w:tc>
      </w:tr>
      <w:tr w14:paraId="16D3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47695CD4">
            <w:pPr>
              <w:spacing w:line="592" w:lineRule="exact"/>
              <w:jc w:val="center"/>
              <w:rPr>
                <w:rFonts w:hint="eastAsia" w:ascii="仿宋" w:hAnsi="仿宋" w:eastAsia="仿宋"/>
                <w:sz w:val="28"/>
                <w:szCs w:val="28"/>
                <w:highlight w:val="none"/>
              </w:rPr>
            </w:pPr>
          </w:p>
        </w:tc>
        <w:tc>
          <w:tcPr>
            <w:tcW w:w="3286" w:type="dxa"/>
            <w:noWrap w:val="0"/>
            <w:vAlign w:val="top"/>
          </w:tcPr>
          <w:p w14:paraId="52976E05">
            <w:pPr>
              <w:spacing w:line="592" w:lineRule="exact"/>
              <w:jc w:val="center"/>
              <w:rPr>
                <w:rFonts w:hint="eastAsia" w:ascii="仿宋" w:hAnsi="仿宋" w:eastAsia="仿宋"/>
                <w:sz w:val="28"/>
                <w:szCs w:val="28"/>
                <w:highlight w:val="none"/>
              </w:rPr>
            </w:pPr>
          </w:p>
        </w:tc>
      </w:tr>
      <w:tr w14:paraId="1124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301942AE">
            <w:pPr>
              <w:spacing w:line="592" w:lineRule="exact"/>
              <w:jc w:val="center"/>
              <w:rPr>
                <w:rFonts w:hint="eastAsia" w:ascii="仿宋" w:hAnsi="仿宋" w:eastAsia="仿宋"/>
                <w:sz w:val="28"/>
                <w:szCs w:val="28"/>
                <w:highlight w:val="none"/>
              </w:rPr>
            </w:pPr>
          </w:p>
        </w:tc>
        <w:tc>
          <w:tcPr>
            <w:tcW w:w="3286" w:type="dxa"/>
            <w:noWrap w:val="0"/>
            <w:vAlign w:val="top"/>
          </w:tcPr>
          <w:p w14:paraId="32AF0DAD">
            <w:pPr>
              <w:spacing w:line="592" w:lineRule="exact"/>
              <w:jc w:val="center"/>
              <w:rPr>
                <w:rFonts w:hint="eastAsia" w:ascii="仿宋" w:hAnsi="仿宋" w:eastAsia="仿宋"/>
                <w:sz w:val="28"/>
                <w:szCs w:val="28"/>
                <w:highlight w:val="none"/>
              </w:rPr>
            </w:pPr>
          </w:p>
        </w:tc>
      </w:tr>
      <w:tr w14:paraId="238A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426AF1E8">
            <w:pPr>
              <w:spacing w:line="592" w:lineRule="exact"/>
              <w:jc w:val="center"/>
              <w:rPr>
                <w:rFonts w:hint="eastAsia" w:ascii="仿宋" w:hAnsi="仿宋" w:eastAsia="仿宋"/>
                <w:sz w:val="28"/>
                <w:szCs w:val="28"/>
                <w:highlight w:val="none"/>
              </w:rPr>
            </w:pPr>
          </w:p>
        </w:tc>
        <w:tc>
          <w:tcPr>
            <w:tcW w:w="3286" w:type="dxa"/>
            <w:noWrap w:val="0"/>
            <w:vAlign w:val="top"/>
          </w:tcPr>
          <w:p w14:paraId="7CFD1DF6">
            <w:pPr>
              <w:spacing w:line="592" w:lineRule="exact"/>
              <w:jc w:val="center"/>
              <w:rPr>
                <w:rFonts w:hint="eastAsia" w:ascii="仿宋" w:hAnsi="仿宋" w:eastAsia="仿宋"/>
                <w:sz w:val="28"/>
                <w:szCs w:val="28"/>
                <w:highlight w:val="none"/>
              </w:rPr>
            </w:pPr>
          </w:p>
        </w:tc>
      </w:tr>
      <w:tr w14:paraId="36F1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3153AFCE">
            <w:pPr>
              <w:spacing w:line="592" w:lineRule="exact"/>
              <w:jc w:val="center"/>
              <w:rPr>
                <w:rFonts w:hint="eastAsia" w:ascii="仿宋" w:hAnsi="仿宋" w:eastAsia="仿宋"/>
                <w:sz w:val="28"/>
                <w:szCs w:val="28"/>
                <w:highlight w:val="none"/>
              </w:rPr>
            </w:pPr>
          </w:p>
        </w:tc>
        <w:tc>
          <w:tcPr>
            <w:tcW w:w="3286" w:type="dxa"/>
            <w:noWrap w:val="0"/>
            <w:vAlign w:val="top"/>
          </w:tcPr>
          <w:p w14:paraId="0017B0FF">
            <w:pPr>
              <w:spacing w:line="592" w:lineRule="exact"/>
              <w:jc w:val="center"/>
              <w:rPr>
                <w:rFonts w:hint="eastAsia" w:ascii="仿宋" w:hAnsi="仿宋" w:eastAsia="仿宋"/>
                <w:sz w:val="28"/>
                <w:szCs w:val="28"/>
                <w:highlight w:val="none"/>
              </w:rPr>
            </w:pPr>
          </w:p>
        </w:tc>
      </w:tr>
      <w:tr w14:paraId="2C07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09E736FE">
            <w:pPr>
              <w:spacing w:line="592" w:lineRule="exact"/>
              <w:jc w:val="center"/>
              <w:rPr>
                <w:rFonts w:hint="eastAsia" w:ascii="仿宋" w:hAnsi="仿宋" w:eastAsia="仿宋"/>
                <w:sz w:val="28"/>
                <w:szCs w:val="28"/>
                <w:highlight w:val="none"/>
              </w:rPr>
            </w:pPr>
          </w:p>
        </w:tc>
        <w:tc>
          <w:tcPr>
            <w:tcW w:w="3286" w:type="dxa"/>
            <w:noWrap w:val="0"/>
            <w:vAlign w:val="top"/>
          </w:tcPr>
          <w:p w14:paraId="6577CB15">
            <w:pPr>
              <w:spacing w:line="592" w:lineRule="exact"/>
              <w:jc w:val="center"/>
              <w:rPr>
                <w:rFonts w:hint="eastAsia" w:ascii="仿宋" w:hAnsi="仿宋" w:eastAsia="仿宋"/>
                <w:sz w:val="28"/>
                <w:szCs w:val="28"/>
                <w:highlight w:val="none"/>
              </w:rPr>
            </w:pPr>
          </w:p>
        </w:tc>
      </w:tr>
      <w:tr w14:paraId="2947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6585306B">
            <w:pPr>
              <w:spacing w:line="592" w:lineRule="exact"/>
              <w:jc w:val="center"/>
              <w:rPr>
                <w:rFonts w:hint="eastAsia" w:ascii="仿宋" w:hAnsi="仿宋" w:eastAsia="仿宋"/>
                <w:sz w:val="28"/>
                <w:szCs w:val="28"/>
                <w:highlight w:val="none"/>
              </w:rPr>
            </w:pPr>
          </w:p>
        </w:tc>
        <w:tc>
          <w:tcPr>
            <w:tcW w:w="3286" w:type="dxa"/>
            <w:noWrap w:val="0"/>
            <w:vAlign w:val="top"/>
          </w:tcPr>
          <w:p w14:paraId="52FDA00D">
            <w:pPr>
              <w:spacing w:line="592" w:lineRule="exact"/>
              <w:jc w:val="center"/>
              <w:rPr>
                <w:rFonts w:hint="eastAsia" w:ascii="仿宋" w:hAnsi="仿宋" w:eastAsia="仿宋"/>
                <w:sz w:val="28"/>
                <w:szCs w:val="28"/>
                <w:highlight w:val="none"/>
              </w:rPr>
            </w:pPr>
          </w:p>
        </w:tc>
      </w:tr>
      <w:tr w14:paraId="7424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3606F77A">
            <w:pPr>
              <w:spacing w:line="592" w:lineRule="exact"/>
              <w:jc w:val="center"/>
              <w:rPr>
                <w:rFonts w:hint="eastAsia" w:ascii="仿宋" w:hAnsi="仿宋" w:eastAsia="仿宋"/>
                <w:sz w:val="28"/>
                <w:szCs w:val="28"/>
                <w:highlight w:val="none"/>
              </w:rPr>
            </w:pPr>
          </w:p>
        </w:tc>
        <w:tc>
          <w:tcPr>
            <w:tcW w:w="3286" w:type="dxa"/>
            <w:noWrap w:val="0"/>
            <w:vAlign w:val="top"/>
          </w:tcPr>
          <w:p w14:paraId="78E55103">
            <w:pPr>
              <w:spacing w:line="592" w:lineRule="exact"/>
              <w:jc w:val="center"/>
              <w:rPr>
                <w:rFonts w:hint="eastAsia" w:ascii="仿宋" w:hAnsi="仿宋" w:eastAsia="仿宋"/>
                <w:sz w:val="28"/>
                <w:szCs w:val="28"/>
                <w:highlight w:val="none"/>
              </w:rPr>
            </w:pPr>
          </w:p>
        </w:tc>
      </w:tr>
      <w:tr w14:paraId="21E8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28CBF301">
            <w:pPr>
              <w:spacing w:line="592" w:lineRule="exact"/>
              <w:jc w:val="center"/>
              <w:rPr>
                <w:rFonts w:hint="eastAsia" w:ascii="仿宋" w:hAnsi="仿宋" w:eastAsia="仿宋"/>
                <w:sz w:val="28"/>
                <w:szCs w:val="28"/>
                <w:highlight w:val="none"/>
              </w:rPr>
            </w:pPr>
          </w:p>
        </w:tc>
        <w:tc>
          <w:tcPr>
            <w:tcW w:w="3286" w:type="dxa"/>
            <w:noWrap w:val="0"/>
            <w:vAlign w:val="top"/>
          </w:tcPr>
          <w:p w14:paraId="444BE055">
            <w:pPr>
              <w:spacing w:line="592" w:lineRule="exact"/>
              <w:jc w:val="center"/>
              <w:rPr>
                <w:rFonts w:hint="eastAsia" w:ascii="仿宋" w:hAnsi="仿宋" w:eastAsia="仿宋"/>
                <w:sz w:val="28"/>
                <w:szCs w:val="28"/>
                <w:highlight w:val="none"/>
              </w:rPr>
            </w:pPr>
          </w:p>
        </w:tc>
      </w:tr>
      <w:tr w14:paraId="1F45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18DC92E1">
            <w:pPr>
              <w:spacing w:line="592" w:lineRule="exact"/>
              <w:jc w:val="center"/>
              <w:rPr>
                <w:rFonts w:hint="eastAsia" w:ascii="仿宋" w:hAnsi="仿宋" w:eastAsia="仿宋"/>
                <w:sz w:val="28"/>
                <w:szCs w:val="28"/>
                <w:highlight w:val="none"/>
              </w:rPr>
            </w:pPr>
          </w:p>
        </w:tc>
        <w:tc>
          <w:tcPr>
            <w:tcW w:w="3286" w:type="dxa"/>
            <w:noWrap w:val="0"/>
            <w:vAlign w:val="top"/>
          </w:tcPr>
          <w:p w14:paraId="4A02012A">
            <w:pPr>
              <w:spacing w:line="592" w:lineRule="exact"/>
              <w:jc w:val="center"/>
              <w:rPr>
                <w:rFonts w:hint="eastAsia" w:ascii="仿宋" w:hAnsi="仿宋" w:eastAsia="仿宋"/>
                <w:sz w:val="28"/>
                <w:szCs w:val="28"/>
                <w:highlight w:val="none"/>
              </w:rPr>
            </w:pPr>
          </w:p>
        </w:tc>
      </w:tr>
      <w:tr w14:paraId="2C7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1AF8D9B4">
            <w:pPr>
              <w:spacing w:line="592" w:lineRule="exact"/>
              <w:jc w:val="center"/>
              <w:rPr>
                <w:rFonts w:hint="eastAsia" w:ascii="仿宋" w:hAnsi="仿宋" w:eastAsia="仿宋"/>
                <w:sz w:val="28"/>
                <w:szCs w:val="28"/>
                <w:highlight w:val="none"/>
              </w:rPr>
            </w:pPr>
          </w:p>
        </w:tc>
        <w:tc>
          <w:tcPr>
            <w:tcW w:w="3286" w:type="dxa"/>
            <w:noWrap w:val="0"/>
            <w:vAlign w:val="top"/>
          </w:tcPr>
          <w:p w14:paraId="7279200E">
            <w:pPr>
              <w:spacing w:line="592" w:lineRule="exact"/>
              <w:jc w:val="center"/>
              <w:rPr>
                <w:rFonts w:hint="eastAsia" w:ascii="仿宋" w:hAnsi="仿宋" w:eastAsia="仿宋"/>
                <w:sz w:val="28"/>
                <w:szCs w:val="28"/>
                <w:highlight w:val="none"/>
              </w:rPr>
            </w:pPr>
          </w:p>
        </w:tc>
      </w:tr>
      <w:tr w14:paraId="0C97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41AAE2F5">
            <w:pPr>
              <w:spacing w:line="592" w:lineRule="exact"/>
              <w:jc w:val="center"/>
              <w:rPr>
                <w:rFonts w:hint="eastAsia" w:ascii="仿宋" w:hAnsi="仿宋" w:eastAsia="仿宋"/>
                <w:sz w:val="28"/>
                <w:szCs w:val="28"/>
                <w:highlight w:val="none"/>
              </w:rPr>
            </w:pPr>
          </w:p>
        </w:tc>
        <w:tc>
          <w:tcPr>
            <w:tcW w:w="3286" w:type="dxa"/>
            <w:noWrap w:val="0"/>
            <w:vAlign w:val="top"/>
          </w:tcPr>
          <w:p w14:paraId="03D699B7">
            <w:pPr>
              <w:spacing w:line="592" w:lineRule="exact"/>
              <w:jc w:val="center"/>
              <w:rPr>
                <w:rFonts w:hint="eastAsia" w:ascii="仿宋" w:hAnsi="仿宋" w:eastAsia="仿宋"/>
                <w:sz w:val="28"/>
                <w:szCs w:val="28"/>
                <w:highlight w:val="none"/>
              </w:rPr>
            </w:pPr>
          </w:p>
        </w:tc>
      </w:tr>
      <w:tr w14:paraId="3437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7ECEBF3E">
            <w:pPr>
              <w:spacing w:line="592" w:lineRule="exact"/>
              <w:jc w:val="center"/>
              <w:rPr>
                <w:rFonts w:hint="eastAsia" w:ascii="仿宋" w:hAnsi="仿宋" w:eastAsia="仿宋"/>
                <w:sz w:val="28"/>
                <w:szCs w:val="28"/>
                <w:highlight w:val="none"/>
              </w:rPr>
            </w:pPr>
          </w:p>
        </w:tc>
        <w:tc>
          <w:tcPr>
            <w:tcW w:w="3286" w:type="dxa"/>
            <w:noWrap w:val="0"/>
            <w:vAlign w:val="top"/>
          </w:tcPr>
          <w:p w14:paraId="63DC271C">
            <w:pPr>
              <w:spacing w:line="592" w:lineRule="exact"/>
              <w:jc w:val="center"/>
              <w:rPr>
                <w:rFonts w:hint="eastAsia" w:ascii="仿宋" w:hAnsi="仿宋" w:eastAsia="仿宋"/>
                <w:sz w:val="28"/>
                <w:szCs w:val="28"/>
                <w:highlight w:val="none"/>
              </w:rPr>
            </w:pPr>
          </w:p>
        </w:tc>
      </w:tr>
      <w:tr w14:paraId="61B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639B2336">
            <w:pPr>
              <w:spacing w:line="592" w:lineRule="exact"/>
              <w:jc w:val="center"/>
              <w:rPr>
                <w:rFonts w:hint="eastAsia" w:ascii="仿宋" w:hAnsi="仿宋" w:eastAsia="仿宋"/>
                <w:sz w:val="28"/>
                <w:szCs w:val="28"/>
                <w:highlight w:val="none"/>
              </w:rPr>
            </w:pPr>
          </w:p>
        </w:tc>
        <w:tc>
          <w:tcPr>
            <w:tcW w:w="3286" w:type="dxa"/>
            <w:noWrap w:val="0"/>
            <w:vAlign w:val="top"/>
          </w:tcPr>
          <w:p w14:paraId="0B752F28">
            <w:pPr>
              <w:spacing w:line="592" w:lineRule="exact"/>
              <w:jc w:val="center"/>
              <w:rPr>
                <w:rFonts w:hint="eastAsia" w:ascii="仿宋" w:hAnsi="仿宋" w:eastAsia="仿宋"/>
                <w:sz w:val="28"/>
                <w:szCs w:val="28"/>
                <w:highlight w:val="none"/>
              </w:rPr>
            </w:pPr>
          </w:p>
        </w:tc>
      </w:tr>
      <w:tr w14:paraId="1395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314C2D52">
            <w:pPr>
              <w:spacing w:line="592" w:lineRule="exact"/>
              <w:jc w:val="center"/>
              <w:rPr>
                <w:rFonts w:hint="eastAsia" w:ascii="仿宋" w:hAnsi="仿宋" w:eastAsia="仿宋"/>
                <w:sz w:val="28"/>
                <w:szCs w:val="28"/>
                <w:highlight w:val="none"/>
              </w:rPr>
            </w:pPr>
          </w:p>
        </w:tc>
        <w:tc>
          <w:tcPr>
            <w:tcW w:w="3286" w:type="dxa"/>
            <w:noWrap w:val="0"/>
            <w:vAlign w:val="top"/>
          </w:tcPr>
          <w:p w14:paraId="183AC195">
            <w:pPr>
              <w:spacing w:line="592" w:lineRule="exact"/>
              <w:jc w:val="center"/>
              <w:rPr>
                <w:rFonts w:hint="eastAsia" w:ascii="仿宋" w:hAnsi="仿宋" w:eastAsia="仿宋"/>
                <w:sz w:val="28"/>
                <w:szCs w:val="28"/>
                <w:highlight w:val="none"/>
              </w:rPr>
            </w:pPr>
          </w:p>
        </w:tc>
      </w:tr>
      <w:tr w14:paraId="3822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44233C4F">
            <w:pPr>
              <w:spacing w:line="592" w:lineRule="exact"/>
              <w:jc w:val="center"/>
              <w:rPr>
                <w:rFonts w:hint="eastAsia" w:ascii="仿宋" w:hAnsi="仿宋" w:eastAsia="仿宋"/>
                <w:sz w:val="28"/>
                <w:szCs w:val="28"/>
                <w:highlight w:val="none"/>
              </w:rPr>
            </w:pPr>
          </w:p>
        </w:tc>
        <w:tc>
          <w:tcPr>
            <w:tcW w:w="3286" w:type="dxa"/>
            <w:noWrap w:val="0"/>
            <w:vAlign w:val="top"/>
          </w:tcPr>
          <w:p w14:paraId="2ECE9D23">
            <w:pPr>
              <w:spacing w:line="592" w:lineRule="exact"/>
              <w:jc w:val="center"/>
              <w:rPr>
                <w:rFonts w:hint="eastAsia" w:ascii="仿宋" w:hAnsi="仿宋" w:eastAsia="仿宋"/>
                <w:sz w:val="28"/>
                <w:szCs w:val="28"/>
                <w:highlight w:val="none"/>
              </w:rPr>
            </w:pPr>
          </w:p>
        </w:tc>
      </w:tr>
      <w:tr w14:paraId="13A9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141FCC58">
            <w:pPr>
              <w:spacing w:line="592" w:lineRule="exact"/>
              <w:jc w:val="center"/>
              <w:rPr>
                <w:rFonts w:hint="eastAsia" w:ascii="仿宋" w:hAnsi="仿宋" w:eastAsia="仿宋"/>
                <w:sz w:val="28"/>
                <w:szCs w:val="28"/>
                <w:highlight w:val="none"/>
              </w:rPr>
            </w:pPr>
          </w:p>
        </w:tc>
        <w:tc>
          <w:tcPr>
            <w:tcW w:w="3286" w:type="dxa"/>
            <w:noWrap w:val="0"/>
            <w:vAlign w:val="top"/>
          </w:tcPr>
          <w:p w14:paraId="72890FB9">
            <w:pPr>
              <w:spacing w:line="592" w:lineRule="exact"/>
              <w:jc w:val="center"/>
              <w:rPr>
                <w:rFonts w:hint="eastAsia" w:ascii="仿宋" w:hAnsi="仿宋" w:eastAsia="仿宋"/>
                <w:sz w:val="28"/>
                <w:szCs w:val="28"/>
                <w:highlight w:val="none"/>
              </w:rPr>
            </w:pPr>
          </w:p>
        </w:tc>
      </w:tr>
      <w:tr w14:paraId="4BD0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24E99FB0">
            <w:pPr>
              <w:spacing w:line="592" w:lineRule="exact"/>
              <w:jc w:val="center"/>
              <w:rPr>
                <w:rFonts w:hint="eastAsia" w:ascii="仿宋" w:hAnsi="仿宋" w:eastAsia="仿宋"/>
                <w:sz w:val="28"/>
                <w:szCs w:val="28"/>
                <w:highlight w:val="none"/>
              </w:rPr>
            </w:pPr>
          </w:p>
        </w:tc>
        <w:tc>
          <w:tcPr>
            <w:tcW w:w="3286" w:type="dxa"/>
            <w:noWrap w:val="0"/>
            <w:vAlign w:val="top"/>
          </w:tcPr>
          <w:p w14:paraId="25D3BA9A">
            <w:pPr>
              <w:spacing w:line="592" w:lineRule="exact"/>
              <w:jc w:val="center"/>
              <w:rPr>
                <w:rFonts w:hint="eastAsia" w:ascii="仿宋" w:hAnsi="仿宋" w:eastAsia="仿宋"/>
                <w:sz w:val="28"/>
                <w:szCs w:val="28"/>
                <w:highlight w:val="none"/>
              </w:rPr>
            </w:pPr>
          </w:p>
        </w:tc>
      </w:tr>
      <w:tr w14:paraId="0192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6D699918">
            <w:pPr>
              <w:spacing w:line="592" w:lineRule="exact"/>
              <w:jc w:val="center"/>
              <w:rPr>
                <w:rFonts w:hint="eastAsia" w:ascii="仿宋" w:hAnsi="仿宋" w:eastAsia="仿宋"/>
                <w:sz w:val="28"/>
                <w:szCs w:val="28"/>
                <w:highlight w:val="none"/>
              </w:rPr>
            </w:pPr>
          </w:p>
        </w:tc>
        <w:tc>
          <w:tcPr>
            <w:tcW w:w="3286" w:type="dxa"/>
            <w:noWrap w:val="0"/>
            <w:vAlign w:val="top"/>
          </w:tcPr>
          <w:p w14:paraId="10204816">
            <w:pPr>
              <w:spacing w:line="592" w:lineRule="exact"/>
              <w:jc w:val="center"/>
              <w:rPr>
                <w:rFonts w:hint="eastAsia" w:ascii="仿宋" w:hAnsi="仿宋" w:eastAsia="仿宋"/>
                <w:sz w:val="28"/>
                <w:szCs w:val="28"/>
                <w:highlight w:val="none"/>
              </w:rPr>
            </w:pPr>
          </w:p>
        </w:tc>
      </w:tr>
      <w:tr w14:paraId="69F2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6" w:type="dxa"/>
            <w:noWrap w:val="0"/>
            <w:vAlign w:val="top"/>
          </w:tcPr>
          <w:p w14:paraId="0C37D98B">
            <w:pPr>
              <w:spacing w:line="592" w:lineRule="exact"/>
              <w:jc w:val="center"/>
              <w:rPr>
                <w:rFonts w:hint="eastAsia" w:ascii="仿宋" w:hAnsi="仿宋" w:eastAsia="仿宋"/>
                <w:sz w:val="28"/>
                <w:szCs w:val="28"/>
                <w:highlight w:val="none"/>
              </w:rPr>
            </w:pPr>
          </w:p>
        </w:tc>
        <w:tc>
          <w:tcPr>
            <w:tcW w:w="3286" w:type="dxa"/>
            <w:noWrap w:val="0"/>
            <w:vAlign w:val="top"/>
          </w:tcPr>
          <w:p w14:paraId="1C139756">
            <w:pPr>
              <w:spacing w:line="592" w:lineRule="exact"/>
              <w:jc w:val="center"/>
              <w:rPr>
                <w:rFonts w:hint="eastAsia" w:ascii="仿宋" w:hAnsi="仿宋" w:eastAsia="仿宋"/>
                <w:sz w:val="28"/>
                <w:szCs w:val="28"/>
                <w:highlight w:val="none"/>
              </w:rPr>
            </w:pPr>
          </w:p>
        </w:tc>
      </w:tr>
    </w:tbl>
    <w:p w14:paraId="1C227B9D">
      <w:pPr>
        <w:pStyle w:val="4"/>
        <w:shd w:val="clear" w:color="auto" w:fill="FFFFFF"/>
        <w:spacing w:line="360" w:lineRule="atLeast"/>
        <w:rPr>
          <w:rFonts w:hint="eastAsia" w:ascii="仿宋" w:hAnsi="仿宋" w:eastAsia="仿宋" w:cs="仿宋"/>
          <w:sz w:val="32"/>
          <w:highlight w:val="none"/>
        </w:rPr>
      </w:pPr>
    </w:p>
    <w:p w14:paraId="1BCD8F1F">
      <w:pPr>
        <w:pStyle w:val="4"/>
        <w:shd w:val="clear" w:color="auto" w:fill="FFFFFF"/>
        <w:spacing w:line="360" w:lineRule="atLeast"/>
        <w:rPr>
          <w:rFonts w:hint="eastAsia" w:ascii="仿宋" w:hAnsi="仿宋" w:eastAsia="仿宋" w:cs="仿宋"/>
          <w:sz w:val="32"/>
          <w:highlight w:val="none"/>
        </w:rPr>
      </w:pPr>
    </w:p>
    <w:p w14:paraId="4F10864F">
      <w:pPr>
        <w:pStyle w:val="4"/>
        <w:shd w:val="clear" w:color="auto" w:fill="FFFFFF"/>
        <w:spacing w:line="360" w:lineRule="atLeast"/>
        <w:rPr>
          <w:rFonts w:hint="eastAsia" w:ascii="仿宋" w:hAnsi="仿宋" w:eastAsia="仿宋" w:cs="仿宋"/>
          <w:sz w:val="32"/>
          <w:highlight w:val="none"/>
        </w:rPr>
      </w:pPr>
    </w:p>
    <w:p w14:paraId="5ADF18EB">
      <w:pPr>
        <w:pStyle w:val="4"/>
        <w:shd w:val="clear" w:color="auto" w:fill="FFFFFF"/>
        <w:spacing w:line="360" w:lineRule="atLeast"/>
        <w:rPr>
          <w:rFonts w:hint="eastAsia" w:ascii="仿宋" w:hAnsi="仿宋" w:eastAsia="仿宋" w:cs="仿宋"/>
          <w:sz w:val="32"/>
          <w:highlight w:val="none"/>
        </w:rPr>
      </w:pPr>
    </w:p>
    <w:tbl>
      <w:tblPr>
        <w:tblStyle w:val="5"/>
        <w:tblW w:w="8171" w:type="dxa"/>
        <w:tblInd w:w="0" w:type="dxa"/>
        <w:tblLayout w:type="fixed"/>
        <w:tblCellMar>
          <w:top w:w="0" w:type="dxa"/>
          <w:left w:w="108" w:type="dxa"/>
          <w:bottom w:w="0" w:type="dxa"/>
          <w:right w:w="108" w:type="dxa"/>
        </w:tblCellMar>
      </w:tblPr>
      <w:tblGrid>
        <w:gridCol w:w="3868"/>
        <w:gridCol w:w="4303"/>
      </w:tblGrid>
      <w:tr w14:paraId="7A2C301F">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7D7DCDA1">
            <w:pPr>
              <w:jc w:val="center"/>
              <w:rPr>
                <w:rFonts w:hint="eastAsia"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租期</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3D9BDB46">
            <w:pPr>
              <w:jc w:val="center"/>
              <w:rPr>
                <w:rFonts w:hint="eastAsia" w:ascii="仿宋" w:hAnsi="仿宋" w:eastAsia="仿宋" w:cs="仿宋"/>
                <w:b/>
                <w:bCs/>
                <w:color w:val="000000"/>
                <w:kern w:val="0"/>
                <w:sz w:val="24"/>
                <w:highlight w:val="none"/>
                <w:lang w:bidi="ar"/>
              </w:rPr>
            </w:pPr>
          </w:p>
        </w:tc>
      </w:tr>
      <w:tr w14:paraId="4A5A3ED3">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58D00202">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免租期间</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1DF67DB8">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免租金额</w:t>
            </w:r>
          </w:p>
        </w:tc>
      </w:tr>
      <w:tr w14:paraId="21400F8A">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2A2F634E">
            <w:pP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51C28E2F">
            <w:pPr>
              <w:rPr>
                <w:rFonts w:hint="eastAsia" w:ascii="仿宋" w:hAnsi="仿宋" w:eastAsia="仿宋" w:cs="仿宋"/>
                <w:b/>
                <w:bCs/>
                <w:color w:val="000000"/>
                <w:sz w:val="24"/>
                <w:highlight w:val="none"/>
              </w:rPr>
            </w:pPr>
          </w:p>
        </w:tc>
      </w:tr>
      <w:tr w14:paraId="32F74149">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4417B369">
            <w:pP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558E0B1E">
            <w:pPr>
              <w:rPr>
                <w:rFonts w:hint="eastAsia" w:ascii="仿宋" w:hAnsi="仿宋" w:eastAsia="仿宋" w:cs="仿宋"/>
                <w:b/>
                <w:bCs/>
                <w:color w:val="000000"/>
                <w:sz w:val="24"/>
                <w:highlight w:val="none"/>
              </w:rPr>
            </w:pPr>
          </w:p>
        </w:tc>
      </w:tr>
      <w:tr w14:paraId="53957936">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6CA557EF">
            <w:pP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4FAF9B95">
            <w:pPr>
              <w:rPr>
                <w:rFonts w:hint="eastAsia" w:ascii="仿宋" w:hAnsi="仿宋" w:eastAsia="仿宋" w:cs="仿宋"/>
                <w:b/>
                <w:bCs/>
                <w:color w:val="000000"/>
                <w:sz w:val="24"/>
                <w:highlight w:val="none"/>
              </w:rPr>
            </w:pPr>
          </w:p>
        </w:tc>
      </w:tr>
      <w:tr w14:paraId="29D3C6D4">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6D6C05AB">
            <w:pP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6AFB64FD">
            <w:pPr>
              <w:rPr>
                <w:rFonts w:hint="eastAsia" w:ascii="仿宋" w:hAnsi="仿宋" w:eastAsia="仿宋" w:cs="仿宋"/>
                <w:b/>
                <w:bCs/>
                <w:color w:val="000000"/>
                <w:sz w:val="24"/>
                <w:highlight w:val="none"/>
              </w:rPr>
            </w:pPr>
          </w:p>
        </w:tc>
      </w:tr>
      <w:tr w14:paraId="75C87FA2">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64C28160">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递增期间</w:t>
            </w: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47F87FCE">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递增期间年租金</w:t>
            </w:r>
          </w:p>
        </w:tc>
      </w:tr>
      <w:tr w14:paraId="7BD2444F">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57786A84">
            <w:pPr>
              <w:jc w:val="cente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24542E4B">
            <w:pPr>
              <w:jc w:val="center"/>
              <w:rPr>
                <w:rFonts w:hint="eastAsia" w:ascii="仿宋" w:hAnsi="仿宋" w:eastAsia="仿宋" w:cs="仿宋"/>
                <w:b/>
                <w:bCs/>
                <w:color w:val="000000"/>
                <w:sz w:val="24"/>
                <w:highlight w:val="none"/>
              </w:rPr>
            </w:pPr>
          </w:p>
        </w:tc>
      </w:tr>
      <w:tr w14:paraId="6CBCD8BE">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40391A5E">
            <w:pPr>
              <w:jc w:val="cente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34CC4DCF">
            <w:pPr>
              <w:jc w:val="center"/>
              <w:rPr>
                <w:rFonts w:hint="eastAsia" w:ascii="仿宋" w:hAnsi="仿宋" w:eastAsia="仿宋" w:cs="仿宋"/>
                <w:b/>
                <w:bCs/>
                <w:color w:val="000000"/>
                <w:sz w:val="24"/>
                <w:highlight w:val="none"/>
              </w:rPr>
            </w:pPr>
          </w:p>
        </w:tc>
      </w:tr>
      <w:tr w14:paraId="0B78E9A2">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638606E4">
            <w:pPr>
              <w:jc w:val="cente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1F32500C">
            <w:pPr>
              <w:jc w:val="center"/>
              <w:rPr>
                <w:rFonts w:hint="eastAsia" w:ascii="仿宋" w:hAnsi="仿宋" w:eastAsia="仿宋" w:cs="仿宋"/>
                <w:b/>
                <w:bCs/>
                <w:color w:val="000000"/>
                <w:sz w:val="24"/>
                <w:highlight w:val="none"/>
              </w:rPr>
            </w:pPr>
          </w:p>
        </w:tc>
      </w:tr>
      <w:tr w14:paraId="4408D533">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533DFF8A">
            <w:pPr>
              <w:jc w:val="cente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40AB8E95">
            <w:pPr>
              <w:jc w:val="center"/>
              <w:rPr>
                <w:rFonts w:hint="eastAsia" w:ascii="仿宋" w:hAnsi="仿宋" w:eastAsia="仿宋" w:cs="仿宋"/>
                <w:b/>
                <w:bCs/>
                <w:color w:val="000000"/>
                <w:sz w:val="24"/>
                <w:highlight w:val="none"/>
              </w:rPr>
            </w:pPr>
          </w:p>
        </w:tc>
      </w:tr>
      <w:tr w14:paraId="387E5B16">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1660D989">
            <w:pPr>
              <w:jc w:val="cente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59ACCF7D">
            <w:pPr>
              <w:jc w:val="center"/>
              <w:rPr>
                <w:rFonts w:hint="eastAsia" w:ascii="仿宋" w:hAnsi="仿宋" w:eastAsia="仿宋" w:cs="仿宋"/>
                <w:b/>
                <w:bCs/>
                <w:color w:val="000000"/>
                <w:sz w:val="24"/>
                <w:highlight w:val="none"/>
              </w:rPr>
            </w:pPr>
          </w:p>
        </w:tc>
      </w:tr>
      <w:tr w14:paraId="696B8431">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3B846E36">
            <w:pPr>
              <w:jc w:val="cente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1EFC7FCA">
            <w:pPr>
              <w:jc w:val="center"/>
              <w:rPr>
                <w:rFonts w:hint="eastAsia" w:ascii="仿宋" w:hAnsi="仿宋" w:eastAsia="仿宋" w:cs="仿宋"/>
                <w:b/>
                <w:bCs/>
                <w:color w:val="000000"/>
                <w:sz w:val="24"/>
                <w:highlight w:val="none"/>
              </w:rPr>
            </w:pPr>
          </w:p>
        </w:tc>
      </w:tr>
      <w:tr w14:paraId="69FA4E02">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3B6143E8">
            <w:pPr>
              <w:jc w:val="cente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505BD429">
            <w:pPr>
              <w:jc w:val="center"/>
              <w:rPr>
                <w:rFonts w:hint="eastAsia" w:ascii="仿宋" w:hAnsi="仿宋" w:eastAsia="仿宋" w:cs="仿宋"/>
                <w:b/>
                <w:bCs/>
                <w:color w:val="000000"/>
                <w:sz w:val="24"/>
                <w:highlight w:val="none"/>
              </w:rPr>
            </w:pPr>
          </w:p>
        </w:tc>
      </w:tr>
      <w:tr w14:paraId="43FE013B">
        <w:tblPrEx>
          <w:tblCellMar>
            <w:top w:w="0" w:type="dxa"/>
            <w:left w:w="108" w:type="dxa"/>
            <w:bottom w:w="0" w:type="dxa"/>
            <w:right w:w="108" w:type="dxa"/>
          </w:tblCellMar>
        </w:tblPrEx>
        <w:trPr>
          <w:trHeight w:val="561" w:hRule="atLeast"/>
        </w:trPr>
        <w:tc>
          <w:tcPr>
            <w:tcW w:w="3868" w:type="dxa"/>
            <w:tcBorders>
              <w:top w:val="single" w:color="000000" w:sz="4" w:space="0"/>
              <w:left w:val="single" w:color="000000" w:sz="4" w:space="0"/>
              <w:bottom w:val="single" w:color="000000" w:sz="4" w:space="0"/>
              <w:right w:val="single" w:color="000000" w:sz="4" w:space="0"/>
            </w:tcBorders>
            <w:noWrap/>
            <w:vAlign w:val="center"/>
          </w:tcPr>
          <w:p w14:paraId="3444E1F2">
            <w:pPr>
              <w:jc w:val="center"/>
              <w:rPr>
                <w:rFonts w:hint="eastAsia" w:ascii="仿宋" w:hAnsi="仿宋" w:eastAsia="仿宋" w:cs="仿宋"/>
                <w:b/>
                <w:bCs/>
                <w:color w:val="000000"/>
                <w:sz w:val="24"/>
                <w:highlight w:val="none"/>
              </w:rPr>
            </w:pPr>
          </w:p>
        </w:tc>
        <w:tc>
          <w:tcPr>
            <w:tcW w:w="4303" w:type="dxa"/>
            <w:tcBorders>
              <w:top w:val="single" w:color="000000" w:sz="4" w:space="0"/>
              <w:left w:val="single" w:color="000000" w:sz="4" w:space="0"/>
              <w:bottom w:val="single" w:color="000000" w:sz="4" w:space="0"/>
              <w:right w:val="single" w:color="000000" w:sz="4" w:space="0"/>
            </w:tcBorders>
            <w:noWrap/>
            <w:vAlign w:val="center"/>
          </w:tcPr>
          <w:p w14:paraId="1A7330E3">
            <w:pPr>
              <w:jc w:val="center"/>
              <w:rPr>
                <w:rFonts w:hint="eastAsia" w:ascii="仿宋" w:hAnsi="仿宋" w:eastAsia="仿宋" w:cs="仿宋"/>
                <w:b/>
                <w:bCs/>
                <w:color w:val="000000"/>
                <w:sz w:val="24"/>
                <w:highlight w:val="none"/>
              </w:rPr>
            </w:pPr>
          </w:p>
        </w:tc>
      </w:tr>
    </w:tbl>
    <w:p w14:paraId="23E718EF">
      <w:pPr>
        <w:pStyle w:val="4"/>
        <w:shd w:val="clear" w:color="auto" w:fill="FFFFFF"/>
        <w:spacing w:line="360" w:lineRule="atLeast"/>
        <w:rPr>
          <w:rFonts w:hint="eastAsia" w:ascii="仿宋" w:hAnsi="仿宋" w:eastAsia="仿宋" w:cs="仿宋"/>
          <w:sz w:val="32"/>
          <w:highlight w:val="none"/>
        </w:rPr>
      </w:pPr>
    </w:p>
    <w:p w14:paraId="696412B5">
      <w:pPr>
        <w:pStyle w:val="4"/>
        <w:shd w:val="clear" w:color="auto" w:fill="FFFFFF"/>
        <w:spacing w:line="360" w:lineRule="atLeast"/>
        <w:rPr>
          <w:rFonts w:hint="eastAsia" w:ascii="仿宋" w:hAnsi="仿宋" w:eastAsia="仿宋" w:cs="仿宋"/>
          <w:sz w:val="32"/>
          <w:highlight w:val="none"/>
        </w:rPr>
      </w:pPr>
    </w:p>
    <w:p w14:paraId="396E0DBF">
      <w:pPr>
        <w:pStyle w:val="4"/>
        <w:shd w:val="clear" w:color="auto" w:fill="FFFFFF"/>
        <w:spacing w:line="360" w:lineRule="atLeast"/>
        <w:rPr>
          <w:rFonts w:hint="eastAsia" w:ascii="仿宋" w:hAnsi="仿宋" w:eastAsia="仿宋" w:cs="仿宋"/>
          <w:sz w:val="32"/>
          <w:highlight w:val="none"/>
        </w:rPr>
      </w:pPr>
    </w:p>
    <w:p w14:paraId="624626CD">
      <w:pPr>
        <w:pStyle w:val="4"/>
        <w:shd w:val="clear" w:color="auto" w:fill="FFFFFF"/>
        <w:spacing w:line="360" w:lineRule="atLeast"/>
        <w:rPr>
          <w:rFonts w:hint="eastAsia" w:ascii="仿宋" w:hAnsi="仿宋" w:eastAsia="仿宋" w:cs="仿宋"/>
          <w:sz w:val="32"/>
          <w:highlight w:val="none"/>
        </w:rPr>
      </w:pPr>
    </w:p>
    <w:p w14:paraId="0F2F1C71">
      <w:pPr>
        <w:pStyle w:val="4"/>
        <w:shd w:val="clear" w:color="auto" w:fill="FFFFFF"/>
        <w:spacing w:line="360" w:lineRule="atLeast"/>
        <w:rPr>
          <w:rFonts w:hint="eastAsia" w:ascii="仿宋" w:hAnsi="仿宋" w:eastAsia="仿宋" w:cs="仿宋"/>
          <w:sz w:val="32"/>
          <w:highlight w:val="none"/>
        </w:rPr>
      </w:pPr>
    </w:p>
    <w:p w14:paraId="67461B5A">
      <w:pPr>
        <w:pStyle w:val="4"/>
        <w:shd w:val="clear" w:color="auto" w:fill="FFFFFF"/>
        <w:spacing w:line="360" w:lineRule="atLeast"/>
        <w:rPr>
          <w:rFonts w:hint="eastAsia" w:ascii="仿宋" w:hAnsi="仿宋" w:eastAsia="仿宋" w:cs="仿宋"/>
          <w:sz w:val="32"/>
          <w:highlight w:val="none"/>
        </w:rPr>
      </w:pPr>
    </w:p>
    <w:p w14:paraId="1E6C302D">
      <w:pPr>
        <w:spacing w:line="592" w:lineRule="exact"/>
        <w:ind w:firstLine="3253" w:firstLineChars="900"/>
        <w:rPr>
          <w:rFonts w:hint="eastAsia" w:ascii="仿宋" w:hAnsi="仿宋" w:eastAsia="仿宋" w:cs="仿宋"/>
          <w:b/>
          <w:sz w:val="36"/>
          <w:szCs w:val="36"/>
          <w:highlight w:val="none"/>
        </w:rPr>
      </w:pPr>
      <w:r>
        <w:rPr>
          <w:rFonts w:hint="eastAsia" w:ascii="仿宋" w:hAnsi="仿宋" w:eastAsia="仿宋" w:cs="仿宋"/>
          <w:b/>
          <w:sz w:val="36"/>
          <w:szCs w:val="36"/>
          <w:highlight w:val="none"/>
        </w:rPr>
        <w:t>补充协议</w:t>
      </w:r>
    </w:p>
    <w:p w14:paraId="67B726A8">
      <w:pPr>
        <w:spacing w:line="592" w:lineRule="exact"/>
        <w:rPr>
          <w:rFonts w:hint="eastAsia" w:ascii="仿宋" w:hAnsi="仿宋" w:eastAsia="仿宋" w:cs="仿宋"/>
          <w:sz w:val="28"/>
          <w:szCs w:val="28"/>
          <w:highlight w:val="none"/>
          <w:u w:val="single"/>
        </w:rPr>
      </w:pPr>
    </w:p>
    <w:p w14:paraId="5E71BA1B">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甲方（出租方）： </w:t>
      </w:r>
      <w:r>
        <w:rPr>
          <w:rFonts w:hint="eastAsia" w:ascii="仿宋" w:hAnsi="仿宋" w:eastAsia="仿宋" w:cs="仿宋"/>
          <w:sz w:val="28"/>
          <w:szCs w:val="28"/>
          <w:highlight w:val="none"/>
          <w:u w:val="single"/>
        </w:rPr>
        <w:t xml:space="preserve">                                  </w:t>
      </w:r>
    </w:p>
    <w:p w14:paraId="121E309C">
      <w:pPr>
        <w:spacing w:line="592"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乙方（承租方）： </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sz w:val="28"/>
          <w:szCs w:val="28"/>
          <w:highlight w:val="none"/>
          <w:u w:val="single"/>
        </w:rPr>
        <w:t xml:space="preserve"> </w:t>
      </w:r>
    </w:p>
    <w:p w14:paraId="6D50E6B3">
      <w:pPr>
        <w:spacing w:line="592" w:lineRule="exact"/>
        <w:ind w:left="120" w:leftChars="57" w:firstLine="560" w:firstLineChars="200"/>
        <w:rPr>
          <w:rFonts w:hint="eastAsia" w:ascii="仿宋" w:hAnsi="仿宋" w:eastAsia="仿宋" w:cs="仿宋"/>
          <w:sz w:val="28"/>
          <w:szCs w:val="28"/>
          <w:highlight w:val="none"/>
        </w:rPr>
      </w:pPr>
    </w:p>
    <w:p w14:paraId="17BCC620">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甲乙双方在平等、自愿、公平原则的基础上，就   年   月  日签订的《房屋租赁合同》（以下简称原合同，合同编号为：    ），经甲乙双方协商一致，增签本补充协议。</w:t>
      </w:r>
    </w:p>
    <w:p w14:paraId="69B5B217">
      <w:pPr>
        <w:numPr>
          <w:ilvl w:val="0"/>
          <w:numId w:val="1"/>
        </w:numPr>
        <w:rPr>
          <w:rFonts w:hint="eastAsia" w:ascii="仿宋" w:hAnsi="仿宋" w:eastAsia="仿宋" w:cs="仿宋"/>
          <w:sz w:val="28"/>
          <w:szCs w:val="28"/>
          <w:highlight w:val="none"/>
        </w:rPr>
      </w:pPr>
      <w:r>
        <w:rPr>
          <w:rFonts w:hint="eastAsia" w:ascii="仿宋" w:hAnsi="仿宋" w:eastAsia="仿宋" w:cs="仿宋"/>
          <w:sz w:val="28"/>
          <w:szCs w:val="28"/>
          <w:highlight w:val="none"/>
        </w:rPr>
        <w:t>经营品牌</w:t>
      </w:r>
    </w:p>
    <w:p w14:paraId="6B1D621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乙方实际经营品牌与报价单内承诺经营品牌不一致的，甲方有权解除《房屋租赁合同》及本协议且不承担任何责任。</w:t>
      </w:r>
    </w:p>
    <w:p w14:paraId="4116B8A8">
      <w:pPr>
        <w:numPr>
          <w:ilvl w:val="0"/>
          <w:numId w:val="1"/>
        </w:numPr>
        <w:rPr>
          <w:rFonts w:hint="eastAsia" w:ascii="仿宋" w:hAnsi="仿宋" w:eastAsia="仿宋" w:cs="仿宋"/>
          <w:sz w:val="28"/>
          <w:szCs w:val="28"/>
          <w:highlight w:val="none"/>
        </w:rPr>
      </w:pPr>
      <w:r>
        <w:rPr>
          <w:rFonts w:hint="eastAsia" w:ascii="仿宋" w:hAnsi="仿宋" w:eastAsia="仿宋" w:cs="仿宋"/>
          <w:sz w:val="28"/>
          <w:szCs w:val="28"/>
          <w:highlight w:val="none"/>
        </w:rPr>
        <w:t>安全生产相关制度</w:t>
      </w:r>
    </w:p>
    <w:p w14:paraId="6B7DFA2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甲方（在乙方的陪同下）有权进入乙方经营场所进行安全检查，发现安全隐患有权要求乙方及时整改，并将整改的结果书面告知甲方。如乙方在甲方出具书面整改通知书后10个自然日内仍没有整改的，甲方有权按照安全隐患等级扣除1000元-10000元不等的履约保证金作为违约金。</w:t>
      </w:r>
    </w:p>
    <w:p w14:paraId="536214A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甲方有权对乙方的二次装修方案和装修过程进行审查监督，督促乙方按消防部门审批要求施工，并要求乙方提供消防部门的验收意见书(或消防验收合格证)。乙方装修结束后60个自然日内无法提供的，甲方有权扣除履约保证金并有权解除《房屋租赁合同》及本协议且不承担任何责任。乙方不得要求甲方任何赔偿。</w:t>
      </w:r>
    </w:p>
    <w:p w14:paraId="3208E0D7">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3、甲方如发现乙方有从事非法生产经营活动时，有权向政府相关部门检举，且有权据此解除《房屋租赁合同》及本协议且不承担任何责任。</w:t>
      </w:r>
    </w:p>
    <w:p w14:paraId="71D12026">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4、甲方有权对乙方的安全管理工作进行相关的协调与督管。</w:t>
      </w:r>
    </w:p>
    <w:p w14:paraId="6183E445">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乙方在使用租赁房屋过程中，应履行安全生产主体责任，建立健全安全生产管理制度，自觉接受甲方的安全检查和落实甲方的安全整改通知。乙方法定代表人（或负责人）及安全管理具体负责人是乙方的安全生产责任人，对在租赁场所范围内从事的生产经营活动负有下列安全责任：</w:t>
      </w:r>
    </w:p>
    <w:p w14:paraId="2BE9CBA6">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（1）乙方确保从事的生产经营活动在国家安全生产相关法律、行政法规、部门规章、地方性法规、地方政府规章和规范性文件规定范围内进行。</w:t>
      </w:r>
    </w:p>
    <w:p w14:paraId="67F3C0EA">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未经甲方书面同意擅自转租给第三方而产生的一切安全责任由乙方承担，与甲方无关；乙方在其承租的房屋内为从事生产经营活动而找寻的合伙人（或合作人），合伙人（或合作人）的一切安全责任由乙方承担，与甲方无关。</w:t>
      </w:r>
    </w:p>
    <w:p w14:paraId="55D83C5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（3）乙方在租赁房产内从事生产、仓储、餐饮、娱乐、旅馆等经营活动的，应当在确保依据安全生产相关法律法规的要求，通过消防部门的验收，取得相关合格证件后，方能从事以上生产经营活动。</w:t>
      </w:r>
    </w:p>
    <w:p w14:paraId="77657FBB">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（4）乙方应根据法律法规或规范性文件的规定要求，在经营场所内配置灭火器、灭火毯等消防设施设备，并保证上述设施设备处于可正常使用状态。</w:t>
      </w:r>
    </w:p>
    <w:p w14:paraId="493D41FA">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（5）乙方应确保消防通道及安全出口的畅通，且不在配电箱、消火栓、灭火器等设备设施前面堆放物品阻塞设备设施的取用。  </w:t>
      </w:r>
    </w:p>
    <w:p w14:paraId="70342979">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（6）乙方租用场所仅用作仓库时，确保不存放易燃易爆危险化学品，并告知甲方所存放的物品的危险特性。</w:t>
      </w:r>
    </w:p>
    <w:p w14:paraId="33D1F0DA">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（7）乙方将租赁场地用作开设餐厅、旅馆、娱乐场所等人员密集场所的，应当确保场所内不存放易燃易爆危险化学品。</w:t>
      </w:r>
    </w:p>
    <w:p w14:paraId="513BCC1C">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乙方确保不在租赁场所进行私自隔间、隔楼等违章搭建，严禁“三合一”、“多合一”等现象发生（“三合一”场所指企业员工集体宿舍与生产作业、物资存放的场所相通连的场所；“多合一”场所指集生产加工、储存、经营、生活住宿等为一体的场所)。</w:t>
      </w:r>
    </w:p>
    <w:p w14:paraId="6A8ED413">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（9）乙方确因生产经营需要在场所或仓库内存放少量危险化学品的，应书面通知甲方，在经过甲方书面同意后才可存放，同时告知储存的种类、数量及采取的防范措施。</w:t>
      </w:r>
    </w:p>
    <w:p w14:paraId="20C0F4CD">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（10）乙方确保对所承租的场所进行日常安全检查和事故隐患排查治理。如：电线是否裸露、危险化学品的储存和使用是否安全、设备设施是否完好、消防器材是否有效、消防通道和安全出口是否畅通等。</w:t>
      </w:r>
    </w:p>
    <w:p w14:paraId="035EB511">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（11）乙方确保在承租的场所区域内安全使用明火设备及高功率电热器具，不乱拉乱接电线，严禁超负荷用电。</w:t>
      </w:r>
    </w:p>
    <w:p w14:paraId="2CCF37E4">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（12）乙方确保主要负责人、安全管理人员、特种作业操作人员经专门机构培训合格后持证上岗。</w:t>
      </w:r>
    </w:p>
    <w:p w14:paraId="1E514C70">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（13）乙方确保对其场所内存在的危险有害因素进行安全标识及告知其员工，并进行全员安全培训，使全员具备本岗位的安全生产知识和技能。</w:t>
      </w:r>
    </w:p>
    <w:p w14:paraId="288E207C">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（14）乙方确保建立安全生产事故应急救援预案并定期组织演练。</w:t>
      </w:r>
    </w:p>
    <w:p w14:paraId="6772251A">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（15）针对租赁房屋内的电梯、锅炉等特种设备和与租赁房屋配套使用的变压器等特种设备，由乙方负责租赁期限内的安全维护和管理工作。</w:t>
      </w:r>
    </w:p>
    <w:p w14:paraId="17B27B2A">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如乙方违反上述第二条第5款约定的，且经甲方书面通知拒不整改的，甲方有权解除《房屋租赁合同》及本协议，乙方支付的全部履约保证金作为违约金扣除不再退还，同时乙方须承担安全事故责任和赔偿相关损失。</w:t>
      </w:r>
    </w:p>
    <w:p w14:paraId="4036FEEC">
      <w:pPr>
        <w:spacing w:line="592"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因乙方管理不善、操作不当、擅自变动房屋结构等原因造成安全事故的，甲方有权解除《房屋租赁合同》及本协议，乙方支付的全部履约保证金作为违约金扣除不再退还，同时乙方须承担安全事故责任和赔偿相关损失，乙方还应负责组织维修、恢复原状（需经检验合格），并承担因维修、检验等产生的一切费用。修缮后须将相关部门的安全检验合格报告提供一份给甲方。</w:t>
      </w:r>
    </w:p>
    <w:p w14:paraId="365DC393">
      <w:pPr>
        <w:spacing w:line="592" w:lineRule="exact"/>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三、</w:t>
      </w:r>
      <w:r>
        <w:rPr>
          <w:rFonts w:hint="eastAsia" w:ascii="仿宋" w:hAnsi="仿宋" w:eastAsia="仿宋" w:cs="仿宋"/>
          <w:sz w:val="28"/>
          <w:szCs w:val="28"/>
          <w:highlight w:val="none"/>
        </w:rPr>
        <w:t>本协议未尽事宜，按照《中华人民共和国消防法》、《中华人民共和国安全生产法》等相关法律法规、地方性法规、地方政府规章和相关规范性文件处理。</w:t>
      </w:r>
    </w:p>
    <w:p w14:paraId="0720FF61">
      <w:pPr>
        <w:spacing w:line="592" w:lineRule="exact"/>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四、</w:t>
      </w:r>
      <w:r>
        <w:rPr>
          <w:rFonts w:hint="eastAsia" w:ascii="仿宋" w:hAnsi="仿宋" w:eastAsia="仿宋" w:cs="仿宋"/>
          <w:sz w:val="28"/>
          <w:szCs w:val="28"/>
          <w:highlight w:val="none"/>
        </w:rPr>
        <w:t>本协议自甲方法定代表人签字或加盖公章/合同专用章和乙方签字或盖章后生效。本协议一式陆份，甲方持有叁份，乙方持有叁份，均具有相同法律效力。</w:t>
      </w:r>
    </w:p>
    <w:p w14:paraId="2F047912">
      <w:pPr>
        <w:spacing w:line="592" w:lineRule="exact"/>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五、</w:t>
      </w:r>
      <w:r>
        <w:rPr>
          <w:rFonts w:hint="eastAsia" w:ascii="仿宋" w:hAnsi="仿宋" w:eastAsia="仿宋" w:cs="仿宋"/>
          <w:sz w:val="28"/>
          <w:szCs w:val="28"/>
          <w:highlight w:val="none"/>
        </w:rPr>
        <w:t>本协议作为《房屋租赁合同》的有效组成部分，与《房屋租赁合同》具有同等法律效力。</w:t>
      </w:r>
    </w:p>
    <w:p w14:paraId="3D3636C9">
      <w:pPr>
        <w:spacing w:line="592" w:lineRule="exact"/>
        <w:rPr>
          <w:rFonts w:hint="eastAsia" w:ascii="仿宋" w:hAnsi="仿宋" w:eastAsia="仿宋" w:cs="仿宋"/>
          <w:sz w:val="28"/>
          <w:szCs w:val="28"/>
          <w:highlight w:val="none"/>
        </w:rPr>
      </w:pPr>
    </w:p>
    <w:p w14:paraId="48CB5C4B">
      <w:pPr>
        <w:spacing w:line="592" w:lineRule="exact"/>
        <w:rPr>
          <w:rFonts w:hint="eastAsia" w:ascii="仿宋" w:hAnsi="仿宋" w:eastAsia="仿宋" w:cs="仿宋"/>
          <w:sz w:val="28"/>
          <w:szCs w:val="28"/>
          <w:highlight w:val="none"/>
        </w:rPr>
      </w:pPr>
    </w:p>
    <w:p w14:paraId="047D2AA6">
      <w:pPr>
        <w:spacing w:line="592" w:lineRule="exact"/>
        <w:rPr>
          <w:rFonts w:hint="eastAsia" w:ascii="仿宋" w:hAnsi="仿宋" w:eastAsia="仿宋" w:cs="仿宋"/>
          <w:sz w:val="28"/>
          <w:szCs w:val="28"/>
          <w:highlight w:val="none"/>
        </w:rPr>
      </w:pPr>
    </w:p>
    <w:p w14:paraId="40A2E58A">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甲方：                             乙方：</w:t>
      </w:r>
    </w:p>
    <w:p w14:paraId="1C19D2F2">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统一社会信用代码：                 统一社会信用代码：</w:t>
      </w:r>
    </w:p>
    <w:p w14:paraId="0602E15D">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14:paraId="0ED57C5F">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代理人：                           身份证号：</w:t>
      </w:r>
    </w:p>
    <w:p w14:paraId="7FE6F0CA">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                             代理人：</w:t>
      </w:r>
    </w:p>
    <w:p w14:paraId="06916965">
      <w:pPr>
        <w:spacing w:line="59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                         地址：</w:t>
      </w:r>
    </w:p>
    <w:p w14:paraId="500E8B66">
      <w:pPr>
        <w:spacing w:line="592"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联系电话：</w:t>
      </w:r>
    </w:p>
    <w:p w14:paraId="765ED403">
      <w:pPr>
        <w:spacing w:line="592" w:lineRule="exact"/>
        <w:ind w:firstLine="564"/>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23F4A609">
      <w:pPr>
        <w:spacing w:line="592" w:lineRule="exact"/>
        <w:ind w:firstLine="4760" w:firstLineChars="1700"/>
        <w:rPr>
          <w:rFonts w:hint="eastAsia" w:ascii="仿宋" w:hAnsi="仿宋" w:eastAsia="仿宋" w:cs="仿宋"/>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648E1F98">
      <w:pPr>
        <w:rPr>
          <w:rFonts w:hint="eastAsia" w:ascii="仿宋" w:hAnsi="仿宋" w:eastAsia="仿宋" w:cs="仿宋"/>
          <w:highlight w:val="none"/>
        </w:rPr>
      </w:pPr>
    </w:p>
    <w:p w14:paraId="1DC4E9DA">
      <w:pPr>
        <w:pStyle w:val="4"/>
        <w:shd w:val="clear" w:color="auto" w:fill="FFFFFF"/>
        <w:spacing w:line="360" w:lineRule="atLeast"/>
        <w:rPr>
          <w:rFonts w:hint="eastAsia" w:ascii="仿宋" w:hAnsi="仿宋" w:eastAsia="仿宋" w:cs="仿宋"/>
          <w:sz w:val="32"/>
          <w:highlight w:val="none"/>
        </w:rPr>
      </w:pPr>
    </w:p>
    <w:p w14:paraId="47D2EC71">
      <w:pPr>
        <w:pStyle w:val="4"/>
        <w:shd w:val="clear" w:color="auto" w:fill="FFFFFF"/>
        <w:spacing w:line="360" w:lineRule="atLeast"/>
        <w:rPr>
          <w:rFonts w:hint="eastAsia" w:ascii="仿宋" w:hAnsi="仿宋" w:eastAsia="仿宋" w:cs="仿宋"/>
          <w:sz w:val="32"/>
          <w:highlight w:val="none"/>
        </w:rPr>
      </w:pPr>
    </w:p>
    <w:p w14:paraId="6AA2B272">
      <w:pPr>
        <w:pStyle w:val="4"/>
        <w:shd w:val="clear" w:color="auto" w:fill="FFFFFF"/>
        <w:spacing w:line="360" w:lineRule="atLeast"/>
        <w:rPr>
          <w:rFonts w:hint="eastAsia" w:ascii="仿宋" w:hAnsi="仿宋" w:eastAsia="仿宋" w:cs="仿宋"/>
          <w:sz w:val="32"/>
          <w:highlight w:val="none"/>
        </w:rPr>
      </w:pPr>
    </w:p>
    <w:p w14:paraId="07EB61EC">
      <w:pPr>
        <w:pStyle w:val="4"/>
        <w:shd w:val="clear" w:color="auto" w:fill="FFFFFF"/>
        <w:spacing w:line="360" w:lineRule="atLeast"/>
        <w:rPr>
          <w:rFonts w:hint="eastAsia" w:ascii="仿宋" w:hAnsi="仿宋" w:eastAsia="仿宋" w:cs="仿宋"/>
          <w:sz w:val="32"/>
          <w:highlight w:val="none"/>
        </w:rPr>
      </w:pPr>
    </w:p>
    <w:p w14:paraId="291FEB72">
      <w:pPr>
        <w:pStyle w:val="4"/>
        <w:shd w:val="clear" w:color="auto" w:fill="FFFFFF"/>
        <w:spacing w:line="360" w:lineRule="atLeast"/>
        <w:rPr>
          <w:rFonts w:hint="eastAsia" w:ascii="仿宋" w:hAnsi="仿宋" w:eastAsia="仿宋" w:cs="仿宋"/>
          <w:sz w:val="32"/>
          <w:highlight w:val="none"/>
        </w:rPr>
      </w:pPr>
    </w:p>
    <w:p w14:paraId="74492C7E">
      <w:pPr>
        <w:rPr>
          <w:highlight w:val="none"/>
        </w:rPr>
      </w:pPr>
    </w:p>
    <w:p w14:paraId="29693B07">
      <w:pPr>
        <w:rPr>
          <w:highlight w:val="none"/>
        </w:rPr>
      </w:pPr>
    </w:p>
    <w:p w14:paraId="3F97DF1D">
      <w:pPr>
        <w:spacing w:line="576" w:lineRule="exact"/>
        <w:rPr>
          <w:rFonts w:hint="eastAsia" w:ascii="微软雅黑" w:hAnsi="微软雅黑" w:eastAsia="微软雅黑" w:cs="微软雅黑"/>
          <w:b/>
          <w:bCs/>
          <w:sz w:val="24"/>
          <w:highlight w:val="none"/>
        </w:rPr>
      </w:pPr>
    </w:p>
    <w:p w14:paraId="2658DA65">
      <w:pPr>
        <w:pStyle w:val="2"/>
        <w:ind w:firstLine="0" w:firstLineChars="0"/>
        <w:rPr>
          <w:rFonts w:hint="eastAsia" w:ascii="微软雅黑" w:hAnsi="微软雅黑" w:eastAsia="微软雅黑" w:cs="微软雅黑"/>
          <w:b/>
          <w:bCs/>
          <w:sz w:val="24"/>
          <w:highlight w:val="none"/>
        </w:rPr>
      </w:pPr>
    </w:p>
    <w:p w14:paraId="35AEB87E">
      <w:pPr>
        <w:jc w:val="left"/>
        <w:rPr>
          <w:rFonts w:ascii="宋体" w:hAnsi="宋体" w:cs="宋体"/>
          <w:sz w:val="30"/>
          <w:szCs w:val="30"/>
          <w:highlight w:val="none"/>
        </w:rPr>
      </w:pPr>
    </w:p>
    <w:p w14:paraId="131DCB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457F">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790D">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FCCC3"/>
    <w:multiLevelType w:val="singleLevel"/>
    <w:tmpl w:val="DCFFC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zk2NzhkOTdjNjY4MjI1ZTQ0ZGMyMzI4MjA2MWEifQ=="/>
  </w:docVars>
  <w:rsids>
    <w:rsidRoot w:val="453867AF"/>
    <w:rsid w:val="453867AF"/>
    <w:rsid w:val="55C4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11994</Words>
  <Characters>12062</Characters>
  <Lines>0</Lines>
  <Paragraphs>0</Paragraphs>
  <TotalTime>1</TotalTime>
  <ScaleCrop>false</ScaleCrop>
  <LinksUpToDate>false</LinksUpToDate>
  <CharactersWithSpaces>13543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2025-09-29T08:39:00Z</dcterms:created>
  <dc:creator>11</dc:creator>
  <cp:lastModifiedBy>王娟</cp:lastModifiedBy>
  <dcterms:modified xsi:type="dcterms:W3CDTF">2025-09-30T02:03:07Z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DEDE56C9CCFB4B44BF1172431892BB78_11</vt:lpwstr>
  </property>
  <property fmtid="{D5CDD505-2E9C-101B-9397-08002B2CF9AE}" pid="4" name="KSOTemplateDocerSaveRecord">
    <vt:lpwstr>eyJoZGlkIjoiOTAwMDc1Mzc2ZmUyOTQzYjE2ZGU3MGIxZjJlNjEwZGMiLCJ1c2VySWQiOiIyNDkwMjQzMjkifQ==</vt:lpwstr>
  </property>
</Properties>
</file>