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914" w:type="dxa"/>
        <w:jc w:val="center"/>
        <w:shd w:val="clear" w:color="auto" w:fill="FFFFFF"/>
        <w:tblLayout w:type="autofit"/>
        <w:tblCellMar>
          <w:top w:w="15" w:type="dxa"/>
          <w:left w:w="15" w:type="dxa"/>
          <w:bottom w:w="15" w:type="dxa"/>
          <w:right w:w="15" w:type="dxa"/>
        </w:tblCellMar>
      </w:tblPr>
      <w:tblGrid>
        <w:gridCol w:w="8914"/>
      </w:tblGrid>
      <w:tr>
        <w:tblPrEx>
          <w:shd w:val="clear" w:color="auto" w:fill="FFFFFF"/>
          <w:tblCellMar>
            <w:top w:w="15" w:type="dxa"/>
            <w:left w:w="15" w:type="dxa"/>
            <w:bottom w:w="15" w:type="dxa"/>
            <w:right w:w="15" w:type="dxa"/>
          </w:tblCellMar>
        </w:tblPrEx>
        <w:trPr>
          <w:jc w:val="center"/>
        </w:trPr>
        <w:tc>
          <w:tcPr>
            <w:tcW w:w="8914" w:type="dxa"/>
            <w:shd w:val="clear" w:color="auto" w:fill="FFFFFF"/>
            <w:tcMar>
              <w:top w:w="120" w:type="dxa"/>
              <w:left w:w="15" w:type="dxa"/>
              <w:bottom w:w="15" w:type="dxa"/>
              <w:right w:w="15" w:type="dxa"/>
            </w:tcMar>
            <w:vAlign w:val="center"/>
          </w:tcPr>
          <w:p>
            <w:pPr>
              <w:widowControl/>
              <w:spacing w:line="276" w:lineRule="auto"/>
              <w:jc w:val="center"/>
              <w:rPr>
                <w:rFonts w:hint="eastAsia" w:ascii="方正小标宋简体" w:hAnsi="宋体" w:eastAsia="方正小标宋简体" w:cs="宋体"/>
                <w:b/>
                <w:bCs/>
                <w:color w:val="333333"/>
                <w:kern w:val="0"/>
                <w:sz w:val="44"/>
                <w:szCs w:val="44"/>
              </w:rPr>
            </w:pPr>
            <w:r>
              <w:rPr>
                <w:rFonts w:hint="eastAsia" w:ascii="方正小标宋简体" w:hAnsi="宋体" w:eastAsia="方正小标宋简体" w:cs="宋体"/>
                <w:b/>
                <w:bCs/>
                <w:color w:val="333333"/>
                <w:kern w:val="0"/>
                <w:sz w:val="44"/>
                <w:szCs w:val="44"/>
                <w:lang w:val="en-US" w:eastAsia="zh-CN"/>
              </w:rPr>
              <w:t>合肥市</w:t>
            </w:r>
            <w:r>
              <w:rPr>
                <w:rFonts w:hint="eastAsia" w:ascii="方正小标宋简体" w:hAnsi="宋体" w:eastAsia="方正小标宋简体" w:cs="宋体"/>
                <w:b/>
                <w:bCs/>
                <w:color w:val="333333"/>
                <w:kern w:val="0"/>
                <w:sz w:val="44"/>
                <w:szCs w:val="44"/>
              </w:rPr>
              <w:t>产权交易</w:t>
            </w:r>
            <w:r>
              <w:rPr>
                <w:rFonts w:hint="eastAsia" w:ascii="方正小标宋简体" w:hAnsi="宋体" w:eastAsia="方正小标宋简体" w:cs="宋体"/>
                <w:b/>
                <w:bCs/>
                <w:color w:val="333333"/>
                <w:kern w:val="0"/>
                <w:sz w:val="44"/>
                <w:szCs w:val="44"/>
                <w:lang w:val="en-US" w:eastAsia="zh-CN"/>
              </w:rPr>
              <w:t>中心</w:t>
            </w:r>
            <w:r>
              <w:rPr>
                <w:rFonts w:hint="eastAsia" w:ascii="方正小标宋简体" w:hAnsi="宋体" w:eastAsia="方正小标宋简体" w:cs="宋体"/>
                <w:b/>
                <w:bCs/>
                <w:color w:val="333333"/>
                <w:kern w:val="0"/>
                <w:sz w:val="44"/>
                <w:szCs w:val="44"/>
              </w:rPr>
              <w:t>项目委托告知书</w:t>
            </w:r>
          </w:p>
        </w:tc>
      </w:tr>
      <w:tr>
        <w:tblPrEx>
          <w:shd w:val="clear" w:color="auto" w:fill="FFFFFF"/>
          <w:tblCellMar>
            <w:top w:w="15" w:type="dxa"/>
            <w:left w:w="15" w:type="dxa"/>
            <w:bottom w:w="15" w:type="dxa"/>
            <w:right w:w="15" w:type="dxa"/>
          </w:tblCellMar>
        </w:tblPrEx>
        <w:trPr>
          <w:trHeight w:val="150" w:hRule="atLeast"/>
          <w:jc w:val="center"/>
        </w:trPr>
        <w:tc>
          <w:tcPr>
            <w:tcW w:w="8914" w:type="dxa"/>
            <w:shd w:val="clear" w:color="auto" w:fill="FFFFFF"/>
            <w:vAlign w:val="center"/>
          </w:tcPr>
          <w:tbl>
            <w:tblPr>
              <w:tblStyle w:val="8"/>
              <w:tblW w:w="4999" w:type="pct"/>
              <w:tblInd w:w="0" w:type="dxa"/>
              <w:tblLayout w:type="autofit"/>
              <w:tblCellMar>
                <w:top w:w="15" w:type="dxa"/>
                <w:left w:w="15" w:type="dxa"/>
                <w:bottom w:w="15" w:type="dxa"/>
                <w:right w:w="15" w:type="dxa"/>
              </w:tblCellMar>
            </w:tblPr>
            <w:tblGrid>
              <w:gridCol w:w="1338"/>
              <w:gridCol w:w="7544"/>
            </w:tblGrid>
            <w:tr>
              <w:tblPrEx>
                <w:tblCellMar>
                  <w:top w:w="15" w:type="dxa"/>
                  <w:left w:w="15" w:type="dxa"/>
                  <w:bottom w:w="15" w:type="dxa"/>
                  <w:right w:w="15" w:type="dxa"/>
                </w:tblCellMar>
              </w:tblPrEx>
              <w:trPr>
                <w:trHeight w:val="443" w:hRule="atLeast"/>
              </w:trPr>
              <w:tc>
                <w:tcPr>
                  <w:tcW w:w="753"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rPr>
                    <w:t>事项名称</w:t>
                  </w:r>
                </w:p>
              </w:tc>
              <w:tc>
                <w:tcPr>
                  <w:tcW w:w="4246"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kern w:val="0"/>
                      <w:sz w:val="30"/>
                      <w:szCs w:val="30"/>
                    </w:rPr>
                  </w:pPr>
                  <w:r>
                    <w:rPr>
                      <w:rFonts w:hint="eastAsia" w:ascii="仿宋" w:hAnsi="仿宋" w:eastAsia="仿宋" w:cs="宋体"/>
                      <w:kern w:val="0"/>
                      <w:sz w:val="24"/>
                      <w:szCs w:val="24"/>
                      <w:lang w:val="en-US" w:eastAsia="zh-CN"/>
                    </w:rPr>
                    <w:t>合肥市产权交易中心</w:t>
                  </w:r>
                  <w:r>
                    <w:rPr>
                      <w:rFonts w:hint="eastAsia" w:ascii="仿宋" w:hAnsi="仿宋" w:eastAsia="仿宋" w:cs="宋体"/>
                      <w:kern w:val="0"/>
                      <w:sz w:val="24"/>
                      <w:szCs w:val="24"/>
                    </w:rPr>
                    <w:t>项目委托</w:t>
                  </w:r>
                </w:p>
              </w:tc>
            </w:tr>
            <w:tr>
              <w:tblPrEx>
                <w:tblCellMar>
                  <w:top w:w="15" w:type="dxa"/>
                  <w:left w:w="15" w:type="dxa"/>
                  <w:bottom w:w="15" w:type="dxa"/>
                  <w:right w:w="15" w:type="dxa"/>
                </w:tblCellMar>
              </w:tblPrEx>
              <w:trPr>
                <w:trHeight w:val="538" w:hRule="atLeast"/>
              </w:trPr>
              <w:tc>
                <w:tcPr>
                  <w:tcW w:w="753"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 w:hAnsi="仿宋" w:eastAsia="仿宋" w:cs="宋体"/>
                      <w:b/>
                      <w:kern w:val="0"/>
                      <w:sz w:val="24"/>
                      <w:szCs w:val="24"/>
                    </w:rPr>
                  </w:pPr>
                  <w:r>
                    <w:rPr>
                      <w:rFonts w:hint="eastAsia" w:ascii="仿宋" w:hAnsi="仿宋" w:eastAsia="仿宋" w:cs="宋体"/>
                      <w:b/>
                      <w:kern w:val="0"/>
                      <w:sz w:val="24"/>
                      <w:szCs w:val="24"/>
                    </w:rPr>
                    <w:t>适用主体</w:t>
                  </w:r>
                </w:p>
              </w:tc>
              <w:tc>
                <w:tcPr>
                  <w:tcW w:w="4246" w:type="pct"/>
                  <w:tcBorders>
                    <w:top w:val="nil"/>
                    <w:left w:val="nil"/>
                    <w:bottom w:val="single" w:color="auto" w:sz="8" w:space="0"/>
                    <w:right w:val="single" w:color="auto" w:sz="8" w:space="0"/>
                  </w:tcBorders>
                  <w:tcMar>
                    <w:top w:w="0" w:type="dxa"/>
                    <w:left w:w="108" w:type="dxa"/>
                    <w:bottom w:w="0" w:type="dxa"/>
                    <w:right w:w="108" w:type="dxa"/>
                  </w:tcMar>
                  <w:vAlign w:val="center"/>
                </w:tcPr>
                <w:p>
                  <w:pPr>
                    <w:spacing w:line="276" w:lineRule="auto"/>
                    <w:jc w:val="center"/>
                    <w:rPr>
                      <w:rFonts w:hint="eastAsia" w:ascii="仿宋" w:hAnsi="仿宋" w:eastAsia="仿宋" w:cs="宋体"/>
                      <w:kern w:val="0"/>
                      <w:sz w:val="24"/>
                      <w:szCs w:val="24"/>
                    </w:rPr>
                  </w:pPr>
                  <w:r>
                    <w:rPr>
                      <w:rFonts w:hint="eastAsia" w:ascii="仿宋" w:hAnsi="仿宋" w:eastAsia="仿宋" w:cs="宋体"/>
                      <w:kern w:val="0"/>
                      <w:sz w:val="24"/>
                      <w:szCs w:val="24"/>
                    </w:rPr>
                    <w:t>全市各级行政事业单位、国有及国有控股企业、国有实际控制企业</w:t>
                  </w:r>
                </w:p>
              </w:tc>
            </w:tr>
            <w:tr>
              <w:tblPrEx>
                <w:tblCellMar>
                  <w:top w:w="15" w:type="dxa"/>
                  <w:left w:w="15" w:type="dxa"/>
                  <w:bottom w:w="15" w:type="dxa"/>
                  <w:right w:w="15" w:type="dxa"/>
                </w:tblCellMar>
              </w:tblPrEx>
              <w:trPr>
                <w:trHeight w:val="3916" w:hRule="atLeast"/>
              </w:trPr>
              <w:tc>
                <w:tcPr>
                  <w:tcW w:w="753"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hint="eastAsia" w:ascii="仿宋" w:hAnsi="仿宋" w:eastAsia="仿宋" w:cs="宋体"/>
                      <w:b/>
                      <w:kern w:val="0"/>
                      <w:sz w:val="24"/>
                      <w:szCs w:val="24"/>
                      <w:highlight w:val="none"/>
                    </w:rPr>
                  </w:pPr>
                  <w:r>
                    <w:rPr>
                      <w:rFonts w:hint="eastAsia" w:ascii="仿宋" w:hAnsi="仿宋" w:eastAsia="仿宋" w:cs="宋体"/>
                      <w:b/>
                      <w:kern w:val="0"/>
                      <w:sz w:val="24"/>
                      <w:szCs w:val="24"/>
                      <w:highlight w:val="none"/>
                    </w:rPr>
                    <w:t>产权范围</w:t>
                  </w:r>
                </w:p>
              </w:tc>
              <w:tc>
                <w:tcPr>
                  <w:tcW w:w="4246" w:type="pct"/>
                  <w:tcBorders>
                    <w:top w:val="nil"/>
                    <w:left w:val="nil"/>
                    <w:bottom w:val="single" w:color="auto" w:sz="8" w:space="0"/>
                    <w:right w:val="single" w:color="auto" w:sz="8" w:space="0"/>
                  </w:tcBorders>
                  <w:tcMar>
                    <w:top w:w="0" w:type="dxa"/>
                    <w:left w:w="108" w:type="dxa"/>
                    <w:bottom w:w="0" w:type="dxa"/>
                    <w:right w:w="108" w:type="dxa"/>
                  </w:tcMar>
                  <w:vAlign w:val="center"/>
                </w:tcPr>
                <w:p>
                  <w:pPr>
                    <w:spacing w:line="276" w:lineRule="auto"/>
                    <w:jc w:val="left"/>
                    <w:rPr>
                      <w:rFonts w:hint="eastAsia" w:ascii="仿宋" w:hAnsi="仿宋" w:eastAsia="仿宋" w:cs="宋体"/>
                      <w:kern w:val="0"/>
                      <w:sz w:val="24"/>
                      <w:szCs w:val="24"/>
                      <w:highlight w:val="none"/>
                      <w:lang w:eastAsia="zh-CN"/>
                    </w:rPr>
                  </w:pPr>
                  <w:r>
                    <w:rPr>
                      <w:rFonts w:hint="eastAsia" w:ascii="仿宋" w:hAnsi="仿宋" w:eastAsia="仿宋" w:cs="宋体"/>
                      <w:b/>
                      <w:bCs/>
                      <w:kern w:val="0"/>
                      <w:sz w:val="24"/>
                      <w:szCs w:val="24"/>
                      <w:highlight w:val="none"/>
                    </w:rPr>
                    <w:t>1</w:t>
                  </w:r>
                  <w:r>
                    <w:rPr>
                      <w:rFonts w:hint="eastAsia" w:ascii="仿宋" w:hAnsi="仿宋" w:eastAsia="仿宋" w:cs="宋体"/>
                      <w:b/>
                      <w:bCs/>
                      <w:kern w:val="0"/>
                      <w:sz w:val="24"/>
                      <w:szCs w:val="24"/>
                      <w:highlight w:val="none"/>
                      <w:lang w:val="en-US" w:eastAsia="zh-CN"/>
                    </w:rPr>
                    <w:t>.</w:t>
                  </w:r>
                  <w:r>
                    <w:rPr>
                      <w:rFonts w:hint="eastAsia" w:ascii="仿宋" w:hAnsi="仿宋" w:eastAsia="仿宋" w:cs="宋体"/>
                      <w:b/>
                      <w:bCs/>
                      <w:kern w:val="0"/>
                      <w:sz w:val="24"/>
                      <w:szCs w:val="24"/>
                      <w:highlight w:val="none"/>
                    </w:rPr>
                    <w:t>房屋及构筑物租赁：</w:t>
                  </w:r>
                  <w:r>
                    <w:rPr>
                      <w:rFonts w:hint="eastAsia" w:ascii="仿宋" w:hAnsi="仿宋" w:eastAsia="仿宋" w:cs="宋体"/>
                      <w:kern w:val="0"/>
                      <w:sz w:val="24"/>
                      <w:szCs w:val="24"/>
                      <w:highlight w:val="none"/>
                    </w:rPr>
                    <w:t>各类房产及附属设施、厂房等租赁</w:t>
                  </w:r>
                  <w:r>
                    <w:rPr>
                      <w:rFonts w:hint="eastAsia" w:ascii="仿宋" w:hAnsi="仿宋" w:eastAsia="仿宋" w:cs="宋体"/>
                      <w:kern w:val="0"/>
                      <w:sz w:val="24"/>
                      <w:szCs w:val="24"/>
                      <w:highlight w:val="none"/>
                      <w:lang w:eastAsia="zh-CN"/>
                    </w:rPr>
                    <w:t>。</w:t>
                  </w:r>
                </w:p>
                <w:p>
                  <w:pPr>
                    <w:spacing w:line="276" w:lineRule="auto"/>
                    <w:jc w:val="left"/>
                    <w:rPr>
                      <w:rFonts w:hint="eastAsia" w:ascii="仿宋" w:hAnsi="仿宋" w:eastAsia="仿宋" w:cs="宋体"/>
                      <w:kern w:val="0"/>
                      <w:sz w:val="24"/>
                      <w:szCs w:val="24"/>
                      <w:highlight w:val="none"/>
                      <w:lang w:eastAsia="zh-CN"/>
                    </w:rPr>
                  </w:pPr>
                  <w:r>
                    <w:rPr>
                      <w:rFonts w:hint="eastAsia" w:ascii="仿宋" w:hAnsi="仿宋" w:eastAsia="仿宋" w:cs="宋体"/>
                      <w:b/>
                      <w:bCs/>
                      <w:kern w:val="0"/>
                      <w:sz w:val="24"/>
                      <w:szCs w:val="24"/>
                      <w:highlight w:val="none"/>
                    </w:rPr>
                    <w:t>2</w:t>
                  </w:r>
                  <w:r>
                    <w:rPr>
                      <w:rFonts w:hint="eastAsia" w:ascii="仿宋" w:hAnsi="仿宋" w:eastAsia="仿宋" w:cs="宋体"/>
                      <w:b/>
                      <w:bCs/>
                      <w:kern w:val="0"/>
                      <w:sz w:val="24"/>
                      <w:szCs w:val="24"/>
                      <w:highlight w:val="none"/>
                      <w:lang w:val="en-US" w:eastAsia="zh-CN"/>
                    </w:rPr>
                    <w:t>.</w:t>
                  </w:r>
                  <w:r>
                    <w:rPr>
                      <w:rFonts w:hint="eastAsia" w:ascii="仿宋" w:hAnsi="仿宋" w:eastAsia="仿宋" w:cs="宋体"/>
                      <w:b/>
                      <w:bCs/>
                      <w:kern w:val="0"/>
                      <w:sz w:val="24"/>
                      <w:szCs w:val="24"/>
                      <w:highlight w:val="none"/>
                    </w:rPr>
                    <w:t>其他实物资产租赁：</w:t>
                  </w:r>
                  <w:r>
                    <w:rPr>
                      <w:rFonts w:hint="eastAsia" w:ascii="仿宋" w:hAnsi="仿宋" w:eastAsia="仿宋" w:cs="宋体"/>
                      <w:kern w:val="0"/>
                      <w:sz w:val="24"/>
                      <w:szCs w:val="24"/>
                      <w:highlight w:val="none"/>
                    </w:rPr>
                    <w:t>除房屋及构筑物以外的设备、设施、车辆等实物资产租赁</w:t>
                  </w:r>
                  <w:r>
                    <w:rPr>
                      <w:rFonts w:hint="eastAsia" w:ascii="仿宋" w:hAnsi="仿宋" w:eastAsia="仿宋" w:cs="宋体"/>
                      <w:kern w:val="0"/>
                      <w:sz w:val="24"/>
                      <w:szCs w:val="24"/>
                      <w:highlight w:val="none"/>
                      <w:lang w:eastAsia="zh-CN"/>
                    </w:rPr>
                    <w:t>。</w:t>
                  </w:r>
                </w:p>
                <w:p>
                  <w:pPr>
                    <w:spacing w:line="276" w:lineRule="auto"/>
                    <w:rPr>
                      <w:rFonts w:hint="eastAsia" w:ascii="仿宋" w:hAnsi="仿宋" w:eastAsia="仿宋" w:cs="宋体"/>
                      <w:kern w:val="0"/>
                      <w:sz w:val="24"/>
                      <w:szCs w:val="24"/>
                      <w:highlight w:val="none"/>
                      <w:lang w:eastAsia="zh-CN"/>
                    </w:rPr>
                  </w:pPr>
                  <w:r>
                    <w:rPr>
                      <w:rFonts w:hint="eastAsia" w:ascii="仿宋" w:hAnsi="仿宋" w:eastAsia="仿宋" w:cs="宋体"/>
                      <w:b/>
                      <w:bCs/>
                      <w:kern w:val="0"/>
                      <w:sz w:val="24"/>
                      <w:szCs w:val="24"/>
                      <w:highlight w:val="none"/>
                    </w:rPr>
                    <w:t>3</w:t>
                  </w:r>
                  <w:r>
                    <w:rPr>
                      <w:rFonts w:hint="eastAsia" w:ascii="仿宋" w:hAnsi="仿宋" w:eastAsia="仿宋" w:cs="宋体"/>
                      <w:b/>
                      <w:bCs/>
                      <w:kern w:val="0"/>
                      <w:sz w:val="24"/>
                      <w:szCs w:val="24"/>
                      <w:highlight w:val="none"/>
                      <w:lang w:val="en-US" w:eastAsia="zh-CN"/>
                    </w:rPr>
                    <w:t>.</w:t>
                  </w:r>
                  <w:r>
                    <w:rPr>
                      <w:rFonts w:hint="eastAsia" w:ascii="仿宋" w:hAnsi="仿宋" w:eastAsia="仿宋" w:cs="宋体"/>
                      <w:b/>
                      <w:bCs/>
                      <w:kern w:val="0"/>
                      <w:sz w:val="24"/>
                      <w:szCs w:val="24"/>
                      <w:highlight w:val="none"/>
                    </w:rPr>
                    <w:t>企业产（股）权转让：</w:t>
                  </w:r>
                  <w:r>
                    <w:rPr>
                      <w:rFonts w:hint="eastAsia" w:ascii="仿宋" w:hAnsi="仿宋" w:eastAsia="仿宋" w:cs="宋体"/>
                      <w:kern w:val="0"/>
                      <w:sz w:val="24"/>
                      <w:szCs w:val="24"/>
                      <w:highlight w:val="none"/>
                    </w:rPr>
                    <w:t>其对企业各种形式出资所形成权益转让或政府引导基金所持项目股权退出</w:t>
                  </w:r>
                  <w:r>
                    <w:rPr>
                      <w:rFonts w:hint="eastAsia" w:ascii="仿宋" w:hAnsi="仿宋" w:eastAsia="仿宋" w:cs="宋体"/>
                      <w:kern w:val="0"/>
                      <w:sz w:val="24"/>
                      <w:szCs w:val="24"/>
                      <w:highlight w:val="none"/>
                      <w:lang w:eastAsia="zh-CN"/>
                    </w:rPr>
                    <w:t>。</w:t>
                  </w:r>
                </w:p>
                <w:p>
                  <w:pPr>
                    <w:spacing w:line="276" w:lineRule="auto"/>
                    <w:rPr>
                      <w:rFonts w:hint="eastAsia" w:ascii="仿宋" w:hAnsi="仿宋" w:eastAsia="仿宋" w:cs="宋体"/>
                      <w:kern w:val="0"/>
                      <w:sz w:val="24"/>
                      <w:szCs w:val="24"/>
                      <w:highlight w:val="none"/>
                      <w:lang w:eastAsia="zh-CN"/>
                    </w:rPr>
                  </w:pPr>
                  <w:r>
                    <w:rPr>
                      <w:rFonts w:hint="eastAsia" w:ascii="仿宋" w:hAnsi="仿宋" w:eastAsia="仿宋" w:cs="宋体"/>
                      <w:b/>
                      <w:bCs/>
                      <w:kern w:val="0"/>
                      <w:sz w:val="24"/>
                      <w:szCs w:val="24"/>
                      <w:highlight w:val="none"/>
                    </w:rPr>
                    <w:t>4</w:t>
                  </w:r>
                  <w:r>
                    <w:rPr>
                      <w:rFonts w:hint="eastAsia" w:ascii="仿宋" w:hAnsi="仿宋" w:eastAsia="仿宋" w:cs="宋体"/>
                      <w:b/>
                      <w:bCs/>
                      <w:kern w:val="0"/>
                      <w:sz w:val="24"/>
                      <w:szCs w:val="24"/>
                      <w:highlight w:val="none"/>
                      <w:lang w:val="en-US" w:eastAsia="zh-CN"/>
                    </w:rPr>
                    <w:t>.</w:t>
                  </w:r>
                  <w:r>
                    <w:rPr>
                      <w:rFonts w:hint="eastAsia" w:ascii="仿宋" w:hAnsi="仿宋" w:eastAsia="仿宋" w:cs="宋体"/>
                      <w:b/>
                      <w:bCs/>
                      <w:kern w:val="0"/>
                      <w:sz w:val="24"/>
                      <w:szCs w:val="24"/>
                      <w:highlight w:val="none"/>
                    </w:rPr>
                    <w:t>企业资产转让：</w:t>
                  </w:r>
                  <w:r>
                    <w:rPr>
                      <w:rFonts w:hint="eastAsia" w:ascii="仿宋" w:hAnsi="仿宋" w:eastAsia="仿宋" w:cs="宋体"/>
                      <w:kern w:val="0"/>
                      <w:sz w:val="24"/>
                      <w:szCs w:val="24"/>
                      <w:highlight w:val="none"/>
                    </w:rPr>
                    <w:t>各类房产、车辆（或报废车辆）、生产设备、罚没资产、债权、知识产权、广告经营权等资产转让</w:t>
                  </w:r>
                  <w:r>
                    <w:rPr>
                      <w:rFonts w:hint="eastAsia" w:ascii="仿宋" w:hAnsi="仿宋" w:eastAsia="仿宋" w:cs="宋体"/>
                      <w:kern w:val="0"/>
                      <w:sz w:val="24"/>
                      <w:szCs w:val="24"/>
                      <w:highlight w:val="none"/>
                      <w:lang w:eastAsia="zh-CN"/>
                    </w:rPr>
                    <w:t>。</w:t>
                  </w:r>
                </w:p>
                <w:p>
                  <w:pPr>
                    <w:spacing w:line="276" w:lineRule="auto"/>
                    <w:rPr>
                      <w:rFonts w:hint="eastAsia" w:ascii="仿宋" w:hAnsi="仿宋" w:eastAsia="仿宋" w:cs="宋体"/>
                      <w:kern w:val="0"/>
                      <w:sz w:val="24"/>
                      <w:szCs w:val="24"/>
                      <w:highlight w:val="none"/>
                      <w:lang w:eastAsia="zh-CN"/>
                    </w:rPr>
                  </w:pPr>
                  <w:r>
                    <w:rPr>
                      <w:rFonts w:hint="eastAsia" w:ascii="仿宋" w:hAnsi="仿宋" w:eastAsia="仿宋" w:cs="宋体"/>
                      <w:b/>
                      <w:bCs/>
                      <w:kern w:val="0"/>
                      <w:sz w:val="24"/>
                      <w:szCs w:val="24"/>
                      <w:highlight w:val="none"/>
                    </w:rPr>
                    <w:t>5</w:t>
                  </w:r>
                  <w:r>
                    <w:rPr>
                      <w:rFonts w:hint="eastAsia" w:ascii="仿宋" w:hAnsi="仿宋" w:eastAsia="仿宋" w:cs="宋体"/>
                      <w:b/>
                      <w:bCs/>
                      <w:kern w:val="0"/>
                      <w:sz w:val="24"/>
                      <w:szCs w:val="24"/>
                      <w:highlight w:val="none"/>
                      <w:lang w:val="en-US" w:eastAsia="zh-CN"/>
                    </w:rPr>
                    <w:t>.</w:t>
                  </w:r>
                  <w:r>
                    <w:rPr>
                      <w:rFonts w:hint="eastAsia" w:ascii="仿宋" w:hAnsi="仿宋" w:eastAsia="仿宋" w:cs="宋体"/>
                      <w:b/>
                      <w:bCs/>
                      <w:kern w:val="0"/>
                      <w:sz w:val="24"/>
                      <w:szCs w:val="24"/>
                      <w:highlight w:val="none"/>
                    </w:rPr>
                    <w:t>经营性场地运营管理：</w:t>
                  </w:r>
                  <w:r>
                    <w:rPr>
                      <w:rFonts w:hint="eastAsia" w:ascii="仿宋" w:hAnsi="仿宋" w:eastAsia="仿宋" w:cs="宋体"/>
                      <w:kern w:val="0"/>
                      <w:sz w:val="24"/>
                      <w:szCs w:val="24"/>
                      <w:highlight w:val="none"/>
                      <w:lang w:val="en-US" w:eastAsia="zh-CN"/>
                    </w:rPr>
                    <w:t>养老机构、幼儿园、食堂、超市、菜市场、商业综合体、文体场馆、公园及景区配套服务等</w:t>
                  </w:r>
                  <w:r>
                    <w:rPr>
                      <w:rFonts w:hint="eastAsia" w:ascii="仿宋" w:hAnsi="仿宋" w:eastAsia="仿宋" w:cs="宋体"/>
                      <w:kern w:val="0"/>
                      <w:sz w:val="24"/>
                      <w:szCs w:val="24"/>
                      <w:highlight w:val="none"/>
                    </w:rPr>
                    <w:t>各类经营性场所</w:t>
                  </w:r>
                  <w:r>
                    <w:rPr>
                      <w:rFonts w:hint="eastAsia" w:ascii="仿宋" w:hAnsi="仿宋" w:eastAsia="仿宋" w:cs="宋体"/>
                      <w:kern w:val="0"/>
                      <w:sz w:val="24"/>
                      <w:szCs w:val="24"/>
                      <w:highlight w:val="none"/>
                      <w:lang w:val="en-US" w:eastAsia="zh-CN"/>
                    </w:rPr>
                    <w:t>的</w:t>
                  </w:r>
                  <w:r>
                    <w:rPr>
                      <w:rFonts w:hint="eastAsia" w:ascii="仿宋" w:hAnsi="仿宋" w:eastAsia="仿宋" w:cs="宋体"/>
                      <w:kern w:val="0"/>
                      <w:sz w:val="24"/>
                      <w:szCs w:val="24"/>
                      <w:highlight w:val="none"/>
                    </w:rPr>
                    <w:t>委托运营管理或经营权转让</w:t>
                  </w:r>
                  <w:r>
                    <w:rPr>
                      <w:rFonts w:hint="eastAsia" w:ascii="仿宋" w:hAnsi="仿宋" w:eastAsia="仿宋" w:cs="宋体"/>
                      <w:kern w:val="0"/>
                      <w:sz w:val="24"/>
                      <w:szCs w:val="24"/>
                      <w:highlight w:val="none"/>
                      <w:lang w:eastAsia="zh-CN"/>
                    </w:rPr>
                    <w:t>。</w:t>
                  </w:r>
                </w:p>
                <w:p>
                  <w:pPr>
                    <w:spacing w:line="276" w:lineRule="auto"/>
                    <w:rPr>
                      <w:rFonts w:hint="eastAsia" w:ascii="仿宋" w:hAnsi="仿宋" w:eastAsia="仿宋" w:cs="宋体"/>
                      <w:kern w:val="0"/>
                      <w:sz w:val="24"/>
                      <w:szCs w:val="24"/>
                      <w:highlight w:val="none"/>
                    </w:rPr>
                  </w:pPr>
                  <w:r>
                    <w:rPr>
                      <w:rFonts w:hint="eastAsia" w:ascii="仿宋" w:hAnsi="仿宋" w:eastAsia="仿宋" w:cs="宋体"/>
                      <w:b/>
                      <w:bCs/>
                      <w:kern w:val="0"/>
                      <w:sz w:val="24"/>
                      <w:szCs w:val="24"/>
                      <w:highlight w:val="none"/>
                      <w:lang w:val="en-US" w:eastAsia="zh-CN"/>
                    </w:rPr>
                    <w:t>6.</w:t>
                  </w:r>
                  <w:r>
                    <w:rPr>
                      <w:rFonts w:hint="eastAsia" w:ascii="仿宋" w:hAnsi="仿宋" w:eastAsia="仿宋" w:cs="宋体"/>
                      <w:b/>
                      <w:bCs/>
                      <w:kern w:val="0"/>
                      <w:sz w:val="24"/>
                      <w:szCs w:val="24"/>
                      <w:highlight w:val="none"/>
                      <w:lang w:eastAsia="zh-CN"/>
                    </w:rPr>
                    <w:t>企业采购：</w:t>
                  </w:r>
                  <w:r>
                    <w:rPr>
                      <w:rFonts w:hint="eastAsia" w:ascii="仿宋" w:hAnsi="仿宋" w:eastAsia="仿宋" w:cs="宋体"/>
                      <w:kern w:val="0"/>
                      <w:sz w:val="24"/>
                      <w:szCs w:val="24"/>
                      <w:highlight w:val="none"/>
                      <w:lang w:val="en-US" w:eastAsia="zh-CN"/>
                    </w:rPr>
                    <w:t>国有企业非工程有关的货物和服务招标采购业务。</w:t>
                  </w:r>
                </w:p>
              </w:tc>
            </w:tr>
            <w:tr>
              <w:tblPrEx>
                <w:tblCellMar>
                  <w:top w:w="15" w:type="dxa"/>
                  <w:left w:w="15" w:type="dxa"/>
                  <w:bottom w:w="15" w:type="dxa"/>
                  <w:right w:w="15" w:type="dxa"/>
                </w:tblCellMar>
              </w:tblPrEx>
              <w:trPr>
                <w:trHeight w:val="1309" w:hRule="atLeast"/>
              </w:trPr>
              <w:tc>
                <w:tcPr>
                  <w:tcW w:w="753"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lang w:val="en-US" w:eastAsia="zh-CN"/>
                    </w:rPr>
                    <w:t>资料</w:t>
                  </w:r>
                  <w:r>
                    <w:rPr>
                      <w:rFonts w:hint="eastAsia" w:ascii="仿宋" w:hAnsi="仿宋" w:eastAsia="仿宋" w:cs="宋体"/>
                      <w:b/>
                      <w:kern w:val="0"/>
                      <w:sz w:val="24"/>
                      <w:szCs w:val="24"/>
                    </w:rPr>
                    <w:t>清单</w:t>
                  </w:r>
                </w:p>
              </w:tc>
              <w:tc>
                <w:tcPr>
                  <w:tcW w:w="4246" w:type="pct"/>
                  <w:tcBorders>
                    <w:top w:val="nil"/>
                    <w:left w:val="nil"/>
                    <w:bottom w:val="single" w:color="auto" w:sz="8" w:space="0"/>
                    <w:right w:val="single" w:color="auto" w:sz="8" w:space="0"/>
                  </w:tcBorders>
                  <w:tcMar>
                    <w:top w:w="0" w:type="dxa"/>
                    <w:left w:w="108" w:type="dxa"/>
                    <w:bottom w:w="0" w:type="dxa"/>
                    <w:right w:w="108" w:type="dxa"/>
                  </w:tcMar>
                  <w:vAlign w:val="center"/>
                </w:tcPr>
                <w:p>
                  <w:pPr>
                    <w:spacing w:line="276" w:lineRule="auto"/>
                    <w:jc w:val="center"/>
                    <w:rPr>
                      <w:rFonts w:hint="eastAsia" w:ascii="仿宋" w:hAnsi="仿宋" w:eastAsia="仿宋" w:cs="宋体"/>
                      <w:kern w:val="0"/>
                      <w:sz w:val="24"/>
                      <w:szCs w:val="24"/>
                      <w:highlight w:val="none"/>
                    </w:rPr>
                  </w:pPr>
                  <w:r>
                    <w:rPr>
                      <w:rFonts w:hint="eastAsia" w:ascii="仿宋" w:hAnsi="仿宋" w:eastAsia="仿宋" w:cs="宋体"/>
                      <w:kern w:val="0"/>
                      <w:sz w:val="24"/>
                      <w:szCs w:val="24"/>
                      <w:highlight w:val="none"/>
                    </w:rPr>
                    <w:t>详见附件</w:t>
                  </w:r>
                </w:p>
                <w:p>
                  <w:pPr>
                    <w:pStyle w:val="2"/>
                    <w:ind w:left="0" w:leftChars="0" w:firstLine="0" w:firstLineChars="0"/>
                  </w:pPr>
                  <w:r>
                    <w:rPr>
                      <w:rFonts w:hint="eastAsia" w:ascii="仿宋" w:hAnsi="仿宋" w:eastAsia="仿宋" w:cs="宋体"/>
                      <w:kern w:val="0"/>
                      <w:sz w:val="24"/>
                      <w:szCs w:val="24"/>
                      <w:highlight w:val="none"/>
                      <w:lang w:val="en-US" w:eastAsia="zh-CN" w:bidi="ar-SA"/>
                    </w:rPr>
                    <w:t>（注：委托资料清单内容仅供参考，不作为规章制度，不属于强制性规范，具体受理应当按照国家法律法规、地方监管制度</w:t>
                  </w:r>
                  <w:bookmarkStart w:id="0" w:name="_GoBack"/>
                  <w:bookmarkEnd w:id="0"/>
                  <w:r>
                    <w:rPr>
                      <w:rFonts w:hint="eastAsia" w:ascii="仿宋" w:hAnsi="仿宋" w:eastAsia="仿宋" w:cs="宋体"/>
                      <w:kern w:val="0"/>
                      <w:sz w:val="24"/>
                      <w:szCs w:val="24"/>
                      <w:highlight w:val="none"/>
                      <w:lang w:val="en-US" w:eastAsia="zh-CN" w:bidi="ar-SA"/>
                    </w:rPr>
                    <w:t>等要求执行，后续根据实际变化适时修订。）</w:t>
                  </w:r>
                </w:p>
              </w:tc>
            </w:tr>
            <w:tr>
              <w:tblPrEx>
                <w:tblCellMar>
                  <w:top w:w="15" w:type="dxa"/>
                  <w:left w:w="15" w:type="dxa"/>
                  <w:bottom w:w="15" w:type="dxa"/>
                  <w:right w:w="15" w:type="dxa"/>
                </w:tblCellMar>
              </w:tblPrEx>
              <w:trPr>
                <w:trHeight w:val="1116" w:hRule="atLeast"/>
              </w:trPr>
              <w:tc>
                <w:tcPr>
                  <w:tcW w:w="753"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lang w:val="en-US" w:eastAsia="zh-CN"/>
                    </w:rPr>
                    <w:t>工作</w:t>
                  </w:r>
                  <w:r>
                    <w:rPr>
                      <w:rFonts w:hint="eastAsia" w:ascii="仿宋" w:hAnsi="仿宋" w:eastAsia="仿宋" w:cs="宋体"/>
                      <w:b/>
                      <w:kern w:val="0"/>
                      <w:sz w:val="24"/>
                      <w:szCs w:val="24"/>
                    </w:rPr>
                    <w:t>地点</w:t>
                  </w:r>
                </w:p>
              </w:tc>
              <w:tc>
                <w:tcPr>
                  <w:tcW w:w="4246"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276" w:lineRule="auto"/>
                    <w:ind w:firstLine="480"/>
                    <w:jc w:val="center"/>
                    <w:rPr>
                      <w:rFonts w:hint="eastAsia" w:ascii="仿宋" w:hAnsi="仿宋" w:eastAsia="仿宋" w:cs="宋体"/>
                      <w:kern w:val="0"/>
                      <w:sz w:val="24"/>
                      <w:szCs w:val="24"/>
                      <w:highlight w:val="none"/>
                      <w:lang w:val="en-US" w:eastAsia="zh-CN"/>
                    </w:rPr>
                  </w:pPr>
                  <w:r>
                    <w:rPr>
                      <w:rFonts w:hint="eastAsia" w:ascii="仿宋" w:hAnsi="仿宋" w:eastAsia="仿宋" w:cs="宋体"/>
                      <w:kern w:val="0"/>
                      <w:sz w:val="24"/>
                      <w:szCs w:val="24"/>
                      <w:highlight w:val="none"/>
                      <w:lang w:val="en-US" w:eastAsia="zh-CN"/>
                    </w:rPr>
                    <w:t>合肥市产权交易中心</w:t>
                  </w:r>
                </w:p>
                <w:p>
                  <w:pPr>
                    <w:widowControl/>
                    <w:spacing w:line="276" w:lineRule="auto"/>
                    <w:jc w:val="both"/>
                    <w:rPr>
                      <w:rFonts w:ascii="仿宋_GB2312" w:hAnsi="宋体" w:eastAsia="仿宋_GB2312" w:cs="宋体"/>
                      <w:kern w:val="0"/>
                      <w:sz w:val="30"/>
                      <w:szCs w:val="30"/>
                      <w:highlight w:val="none"/>
                    </w:rPr>
                  </w:pPr>
                  <w:r>
                    <w:rPr>
                      <w:rFonts w:hint="eastAsia" w:ascii="仿宋" w:hAnsi="仿宋" w:eastAsia="仿宋" w:cs="宋体"/>
                      <w:kern w:val="0"/>
                      <w:sz w:val="24"/>
                      <w:szCs w:val="24"/>
                      <w:highlight w:val="none"/>
                    </w:rPr>
                    <w:t>合肥市滨湖新区徽州大道4872号金融港中心A9幢安徽公共资源交易集团4楼</w:t>
                  </w:r>
                </w:p>
              </w:tc>
            </w:tr>
            <w:tr>
              <w:tblPrEx>
                <w:tblCellMar>
                  <w:top w:w="15" w:type="dxa"/>
                  <w:left w:w="15" w:type="dxa"/>
                  <w:bottom w:w="15" w:type="dxa"/>
                  <w:right w:w="15" w:type="dxa"/>
                </w:tblCellMar>
              </w:tblPrEx>
              <w:trPr>
                <w:trHeight w:val="827" w:hRule="atLeast"/>
              </w:trPr>
              <w:tc>
                <w:tcPr>
                  <w:tcW w:w="753"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lang w:val="en-US" w:eastAsia="zh-CN"/>
                    </w:rPr>
                    <w:t>工作</w:t>
                  </w:r>
                  <w:r>
                    <w:rPr>
                      <w:rFonts w:hint="eastAsia" w:ascii="仿宋" w:hAnsi="仿宋" w:eastAsia="仿宋" w:cs="宋体"/>
                      <w:b/>
                      <w:kern w:val="0"/>
                      <w:sz w:val="24"/>
                      <w:szCs w:val="24"/>
                    </w:rPr>
                    <w:t>时间</w:t>
                  </w:r>
                </w:p>
              </w:tc>
              <w:tc>
                <w:tcPr>
                  <w:tcW w:w="4246"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76" w:lineRule="auto"/>
                    <w:ind w:firstLine="480"/>
                    <w:jc w:val="center"/>
                    <w:rPr>
                      <w:rFonts w:ascii="仿宋_GB2312" w:hAnsi="宋体" w:eastAsia="仿宋_GB2312" w:cs="宋体"/>
                      <w:kern w:val="0"/>
                      <w:sz w:val="30"/>
                      <w:szCs w:val="30"/>
                    </w:rPr>
                  </w:pPr>
                  <w:r>
                    <w:rPr>
                      <w:rFonts w:hint="eastAsia" w:ascii="仿宋" w:hAnsi="仿宋" w:eastAsia="仿宋" w:cs="宋体"/>
                      <w:kern w:val="0"/>
                      <w:sz w:val="24"/>
                      <w:szCs w:val="24"/>
                    </w:rPr>
                    <w:t>周一至周五（节假日除外）</w:t>
                  </w:r>
                </w:p>
                <w:p>
                  <w:pPr>
                    <w:widowControl/>
                    <w:spacing w:line="276" w:lineRule="auto"/>
                    <w:ind w:firstLine="480"/>
                    <w:jc w:val="center"/>
                    <w:rPr>
                      <w:rFonts w:ascii="仿宋_GB2312" w:hAnsi="宋体" w:eastAsia="仿宋_GB2312" w:cs="宋体"/>
                      <w:kern w:val="0"/>
                      <w:sz w:val="30"/>
                      <w:szCs w:val="30"/>
                    </w:rPr>
                  </w:pPr>
                  <w:r>
                    <w:rPr>
                      <w:rFonts w:hint="eastAsia" w:ascii="仿宋" w:hAnsi="仿宋" w:eastAsia="仿宋" w:cs="宋体"/>
                      <w:kern w:val="0"/>
                      <w:sz w:val="24"/>
                      <w:szCs w:val="24"/>
                    </w:rPr>
                    <w:t>上午09：00-1</w:t>
                  </w:r>
                  <w:r>
                    <w:rPr>
                      <w:rFonts w:ascii="仿宋" w:hAnsi="仿宋" w:eastAsia="仿宋" w:cs="宋体"/>
                      <w:kern w:val="0"/>
                      <w:sz w:val="24"/>
                      <w:szCs w:val="24"/>
                    </w:rPr>
                    <w:t>1</w:t>
                  </w:r>
                  <w:r>
                    <w:rPr>
                      <w:rFonts w:hint="eastAsia" w:ascii="仿宋" w:hAnsi="仿宋" w:eastAsia="仿宋" w:cs="宋体"/>
                      <w:kern w:val="0"/>
                      <w:sz w:val="24"/>
                      <w:szCs w:val="24"/>
                    </w:rPr>
                    <w:t>：</w:t>
                  </w:r>
                  <w:r>
                    <w:rPr>
                      <w:rFonts w:ascii="仿宋" w:hAnsi="仿宋" w:eastAsia="仿宋" w:cs="宋体"/>
                      <w:kern w:val="0"/>
                      <w:sz w:val="24"/>
                      <w:szCs w:val="24"/>
                    </w:rPr>
                    <w:t>3</w:t>
                  </w:r>
                  <w:r>
                    <w:rPr>
                      <w:rFonts w:hint="eastAsia" w:ascii="仿宋" w:hAnsi="仿宋" w:eastAsia="仿宋" w:cs="宋体"/>
                      <w:kern w:val="0"/>
                      <w:sz w:val="24"/>
                      <w:szCs w:val="24"/>
                    </w:rPr>
                    <w:t xml:space="preserve">0 </w:t>
                  </w:r>
                  <w:r>
                    <w:rPr>
                      <w:rFonts w:ascii="Tahoma" w:hAnsi="Tahoma" w:eastAsia="仿宋" w:cs="Tahoma"/>
                      <w:kern w:val="0"/>
                      <w:sz w:val="24"/>
                      <w:szCs w:val="24"/>
                    </w:rPr>
                    <w:t>  </w:t>
                  </w:r>
                  <w:r>
                    <w:rPr>
                      <w:rFonts w:hint="eastAsia" w:ascii="仿宋" w:hAnsi="仿宋" w:eastAsia="仿宋" w:cs="宋体"/>
                      <w:kern w:val="0"/>
                      <w:sz w:val="24"/>
                      <w:szCs w:val="24"/>
                    </w:rPr>
                    <w:t>下午13：30-17：30</w:t>
                  </w:r>
                </w:p>
              </w:tc>
            </w:tr>
            <w:tr>
              <w:tblPrEx>
                <w:tblCellMar>
                  <w:top w:w="15" w:type="dxa"/>
                  <w:left w:w="15" w:type="dxa"/>
                  <w:bottom w:w="15" w:type="dxa"/>
                  <w:right w:w="15" w:type="dxa"/>
                </w:tblCellMar>
              </w:tblPrEx>
              <w:trPr>
                <w:trHeight w:val="511" w:hRule="atLeast"/>
              </w:trPr>
              <w:tc>
                <w:tcPr>
                  <w:tcW w:w="753"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rPr>
                    <w:t>联系方式</w:t>
                  </w:r>
                </w:p>
              </w:tc>
              <w:tc>
                <w:tcPr>
                  <w:tcW w:w="4246"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hint="default" w:ascii="仿宋_GB2312" w:hAnsi="宋体" w:eastAsia="仿宋" w:cs="宋体"/>
                      <w:kern w:val="0"/>
                      <w:sz w:val="30"/>
                      <w:szCs w:val="30"/>
                      <w:lang w:val="en-US" w:eastAsia="zh-CN"/>
                    </w:rPr>
                  </w:pPr>
                  <w:r>
                    <w:rPr>
                      <w:rFonts w:hint="eastAsia" w:ascii="仿宋" w:hAnsi="仿宋" w:eastAsia="仿宋" w:cs="宋体"/>
                      <w:kern w:val="0"/>
                      <w:sz w:val="24"/>
                      <w:szCs w:val="24"/>
                      <w:lang w:val="en-US" w:eastAsia="zh-CN"/>
                    </w:rPr>
                    <w:t>江工</w:t>
                  </w:r>
                  <w:r>
                    <w:rPr>
                      <w:rFonts w:hint="eastAsia" w:ascii="仿宋" w:hAnsi="仿宋" w:eastAsia="仿宋" w:cs="宋体"/>
                      <w:kern w:val="0"/>
                      <w:sz w:val="24"/>
                      <w:szCs w:val="24"/>
                    </w:rPr>
                    <w:t>：0551-6622</w:t>
                  </w:r>
                  <w:r>
                    <w:rPr>
                      <w:rFonts w:hint="eastAsia" w:ascii="仿宋" w:hAnsi="仿宋" w:eastAsia="仿宋" w:cs="宋体"/>
                      <w:kern w:val="0"/>
                      <w:sz w:val="24"/>
                      <w:szCs w:val="24"/>
                      <w:lang w:val="en-US" w:eastAsia="zh-CN"/>
                    </w:rPr>
                    <w:t>3293</w:t>
                  </w:r>
                  <w:r>
                    <w:rPr>
                      <w:rFonts w:hint="eastAsia" w:ascii="仿宋" w:hAnsi="仿宋" w:eastAsia="仿宋" w:cs="宋体"/>
                      <w:kern w:val="0"/>
                      <w:sz w:val="24"/>
                      <w:szCs w:val="24"/>
                    </w:rPr>
                    <w:t xml:space="preserve"> </w:t>
                  </w:r>
                  <w:r>
                    <w:rPr>
                      <w:rFonts w:ascii="仿宋" w:hAnsi="仿宋" w:eastAsia="仿宋" w:cs="宋体"/>
                      <w:kern w:val="0"/>
                      <w:sz w:val="24"/>
                      <w:szCs w:val="24"/>
                    </w:rPr>
                    <w:t xml:space="preserve">  </w:t>
                  </w:r>
                  <w:r>
                    <w:rPr>
                      <w:rFonts w:ascii="Tahoma" w:hAnsi="Tahoma" w:eastAsia="仿宋" w:cs="Tahoma"/>
                      <w:kern w:val="0"/>
                      <w:sz w:val="24"/>
                      <w:szCs w:val="24"/>
                    </w:rPr>
                    <w:t>   </w:t>
                  </w:r>
                  <w:r>
                    <w:rPr>
                      <w:rFonts w:hint="eastAsia" w:ascii="仿宋" w:hAnsi="仿宋" w:eastAsia="仿宋" w:cs="宋体"/>
                      <w:kern w:val="0"/>
                      <w:sz w:val="24"/>
                      <w:szCs w:val="24"/>
                    </w:rPr>
                    <w:t>QQ：</w:t>
                  </w:r>
                  <w:r>
                    <w:rPr>
                      <w:rFonts w:hint="eastAsia" w:ascii="仿宋" w:hAnsi="仿宋" w:eastAsia="仿宋" w:cs="宋体"/>
                      <w:kern w:val="0"/>
                      <w:sz w:val="24"/>
                      <w:szCs w:val="24"/>
                      <w:lang w:val="en-US" w:eastAsia="zh-CN"/>
                    </w:rPr>
                    <w:t>243323738</w:t>
                  </w:r>
                </w:p>
              </w:tc>
            </w:tr>
            <w:tr>
              <w:tblPrEx>
                <w:tblCellMar>
                  <w:top w:w="15" w:type="dxa"/>
                  <w:left w:w="15" w:type="dxa"/>
                  <w:bottom w:w="15" w:type="dxa"/>
                  <w:right w:w="15" w:type="dxa"/>
                </w:tblCellMar>
              </w:tblPrEx>
              <w:trPr>
                <w:trHeight w:val="1078" w:hRule="atLeast"/>
              </w:trPr>
              <w:tc>
                <w:tcPr>
                  <w:tcW w:w="753"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lang w:val="en-US" w:eastAsia="zh-CN"/>
                    </w:rPr>
                    <w:t>委托</w:t>
                  </w:r>
                  <w:r>
                    <w:rPr>
                      <w:rFonts w:hint="eastAsia" w:ascii="仿宋" w:hAnsi="仿宋" w:eastAsia="仿宋" w:cs="宋体"/>
                      <w:b/>
                      <w:kern w:val="0"/>
                      <w:sz w:val="24"/>
                      <w:szCs w:val="24"/>
                    </w:rPr>
                    <w:t>流程</w:t>
                  </w:r>
                </w:p>
              </w:tc>
              <w:tc>
                <w:tcPr>
                  <w:tcW w:w="4246"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76" w:lineRule="auto"/>
                    <w:ind w:firstLine="480"/>
                    <w:jc w:val="left"/>
                    <w:rPr>
                      <w:rFonts w:hint="eastAsia" w:ascii="仿宋" w:hAnsi="仿宋" w:eastAsia="仿宋" w:cs="宋体"/>
                      <w:kern w:val="0"/>
                      <w:sz w:val="24"/>
                      <w:szCs w:val="24"/>
                      <w:highlight w:val="none"/>
                    </w:rPr>
                  </w:pPr>
                  <w:r>
                    <w:rPr>
                      <w:rFonts w:ascii="仿宋" w:hAnsi="仿宋" w:eastAsia="仿宋" w:cs="宋体"/>
                      <w:kern w:val="0"/>
                      <w:sz w:val="24"/>
                      <w:szCs w:val="24"/>
                      <w:highlight w:val="none"/>
                    </w:rPr>
                    <w:t>提前准备委托资料→登录CA账号</w:t>
                  </w:r>
                  <w:r>
                    <w:rPr>
                      <w:rFonts w:hint="eastAsia" w:ascii="仿宋" w:hAnsi="仿宋" w:eastAsia="仿宋" w:cs="宋体"/>
                      <w:kern w:val="0"/>
                      <w:sz w:val="24"/>
                      <w:szCs w:val="24"/>
                      <w:highlight w:val="none"/>
                    </w:rPr>
                    <w:t>、录入项目信息、上传项目资料→业主审核→</w:t>
                  </w:r>
                  <w:r>
                    <w:rPr>
                      <w:rFonts w:hint="eastAsia" w:ascii="仿宋" w:hAnsi="仿宋" w:eastAsia="仿宋" w:cs="宋体"/>
                      <w:kern w:val="0"/>
                      <w:sz w:val="24"/>
                      <w:szCs w:val="24"/>
                      <w:highlight w:val="none"/>
                      <w:lang w:val="en-US" w:eastAsia="zh-CN"/>
                    </w:rPr>
                    <w:t>合肥市产权交易中心</w:t>
                  </w:r>
                  <w:r>
                    <w:rPr>
                      <w:rFonts w:hint="eastAsia" w:ascii="仿宋" w:hAnsi="仿宋" w:eastAsia="仿宋" w:cs="宋体"/>
                      <w:kern w:val="0"/>
                      <w:sz w:val="24"/>
                      <w:szCs w:val="24"/>
                      <w:highlight w:val="none"/>
                    </w:rPr>
                    <w:t>受理→</w:t>
                  </w:r>
                  <w:r>
                    <w:rPr>
                      <w:rFonts w:hint="eastAsia" w:ascii="仿宋" w:hAnsi="仿宋" w:eastAsia="仿宋" w:cs="宋体"/>
                      <w:kern w:val="0"/>
                      <w:sz w:val="24"/>
                      <w:szCs w:val="24"/>
                      <w:highlight w:val="none"/>
                      <w:lang w:val="en-US" w:eastAsia="zh-CN"/>
                    </w:rPr>
                    <w:t>交易集团规划发展部复核</w:t>
                  </w:r>
                  <w:r>
                    <w:rPr>
                      <w:rFonts w:hint="eastAsia" w:ascii="仿宋" w:hAnsi="仿宋" w:eastAsia="仿宋" w:cs="宋体"/>
                      <w:kern w:val="0"/>
                      <w:sz w:val="24"/>
                      <w:szCs w:val="24"/>
                      <w:highlight w:val="none"/>
                    </w:rPr>
                    <w:t>→</w:t>
                  </w:r>
                  <w:r>
                    <w:rPr>
                      <w:rFonts w:hint="eastAsia" w:ascii="仿宋" w:hAnsi="仿宋" w:eastAsia="仿宋" w:cs="宋体"/>
                      <w:kern w:val="0"/>
                      <w:sz w:val="24"/>
                      <w:szCs w:val="24"/>
                      <w:highlight w:val="none"/>
                      <w:lang w:val="en-US" w:eastAsia="zh-CN"/>
                    </w:rPr>
                    <w:t>合肥市产权交易中心</w:t>
                  </w:r>
                  <w:r>
                    <w:rPr>
                      <w:rFonts w:hint="eastAsia" w:ascii="仿宋" w:hAnsi="仿宋" w:eastAsia="仿宋" w:cs="宋体"/>
                      <w:kern w:val="0"/>
                      <w:sz w:val="24"/>
                      <w:szCs w:val="24"/>
                      <w:highlight w:val="none"/>
                    </w:rPr>
                    <w:t>分配项目负责人</w:t>
                  </w:r>
                </w:p>
              </w:tc>
            </w:tr>
            <w:tr>
              <w:tblPrEx>
                <w:tblCellMar>
                  <w:top w:w="15" w:type="dxa"/>
                  <w:left w:w="15" w:type="dxa"/>
                  <w:bottom w:w="15" w:type="dxa"/>
                  <w:right w:w="15" w:type="dxa"/>
                </w:tblCellMar>
              </w:tblPrEx>
              <w:trPr>
                <w:trHeight w:val="463" w:hRule="atLeast"/>
              </w:trPr>
              <w:tc>
                <w:tcPr>
                  <w:tcW w:w="753"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ascii="仿宋_GB2312" w:hAnsi="宋体" w:eastAsia="仿宋_GB2312" w:cs="宋体"/>
                      <w:b/>
                      <w:kern w:val="0"/>
                      <w:sz w:val="30"/>
                      <w:szCs w:val="30"/>
                    </w:rPr>
                  </w:pPr>
                  <w:r>
                    <w:rPr>
                      <w:rFonts w:hint="eastAsia" w:ascii="仿宋" w:hAnsi="仿宋" w:eastAsia="仿宋" w:cs="宋体"/>
                      <w:b/>
                      <w:kern w:val="0"/>
                      <w:sz w:val="24"/>
                      <w:szCs w:val="24"/>
                    </w:rPr>
                    <w:t>办理时限</w:t>
                  </w:r>
                </w:p>
              </w:tc>
              <w:tc>
                <w:tcPr>
                  <w:tcW w:w="4246"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after="100" w:line="276" w:lineRule="auto"/>
                    <w:ind w:firstLine="480"/>
                    <w:jc w:val="center"/>
                    <w:rPr>
                      <w:rFonts w:ascii="仿宋_GB2312" w:hAnsi="宋体" w:eastAsia="仿宋_GB2312" w:cs="宋体"/>
                      <w:kern w:val="0"/>
                      <w:sz w:val="30"/>
                      <w:szCs w:val="30"/>
                    </w:rPr>
                  </w:pPr>
                  <w:r>
                    <w:rPr>
                      <w:rFonts w:hint="eastAsia" w:ascii="仿宋" w:hAnsi="仿宋" w:eastAsia="仿宋" w:cs="宋体"/>
                      <w:kern w:val="0"/>
                      <w:sz w:val="24"/>
                      <w:szCs w:val="24"/>
                    </w:rPr>
                    <w:t>1</w:t>
                  </w:r>
                  <w:r>
                    <w:rPr>
                      <w:rFonts w:hint="eastAsia" w:ascii="仿宋" w:hAnsi="仿宋" w:eastAsia="仿宋" w:cs="宋体"/>
                      <w:kern w:val="0"/>
                      <w:sz w:val="24"/>
                      <w:szCs w:val="24"/>
                      <w:lang w:eastAsia="zh-CN"/>
                    </w:rPr>
                    <w:t>—</w:t>
                  </w:r>
                  <w:r>
                    <w:rPr>
                      <w:rFonts w:hint="eastAsia" w:ascii="仿宋" w:hAnsi="仿宋" w:eastAsia="仿宋" w:cs="宋体"/>
                      <w:kern w:val="0"/>
                      <w:sz w:val="24"/>
                      <w:szCs w:val="24"/>
                      <w:lang w:val="en-US" w:eastAsia="zh-CN"/>
                    </w:rPr>
                    <w:t>3</w:t>
                  </w:r>
                  <w:r>
                    <w:rPr>
                      <w:rFonts w:hint="eastAsia" w:ascii="仿宋" w:hAnsi="仿宋" w:eastAsia="仿宋" w:cs="宋体"/>
                      <w:kern w:val="0"/>
                      <w:sz w:val="24"/>
                      <w:szCs w:val="24"/>
                    </w:rPr>
                    <w:t>个工作日</w:t>
                  </w:r>
                </w:p>
              </w:tc>
            </w:tr>
            <w:tr>
              <w:tblPrEx>
                <w:tblCellMar>
                  <w:top w:w="15" w:type="dxa"/>
                  <w:left w:w="15" w:type="dxa"/>
                  <w:bottom w:w="15" w:type="dxa"/>
                  <w:right w:w="15" w:type="dxa"/>
                </w:tblCellMar>
              </w:tblPrEx>
              <w:trPr>
                <w:trHeight w:val="548" w:hRule="atLeast"/>
              </w:trPr>
              <w:tc>
                <w:tcPr>
                  <w:tcW w:w="753"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center"/>
                    <w:rPr>
                      <w:rFonts w:hint="eastAsia" w:ascii="仿宋" w:hAnsi="仿宋" w:eastAsia="仿宋" w:cs="宋体"/>
                      <w:b/>
                      <w:kern w:val="0"/>
                      <w:sz w:val="24"/>
                      <w:szCs w:val="24"/>
                    </w:rPr>
                  </w:pPr>
                  <w:r>
                    <w:rPr>
                      <w:rFonts w:hint="eastAsia" w:ascii="仿宋" w:hAnsi="仿宋" w:eastAsia="仿宋" w:cs="宋体"/>
                      <w:b/>
                      <w:kern w:val="0"/>
                      <w:sz w:val="24"/>
                      <w:szCs w:val="24"/>
                    </w:rPr>
                    <w:t>备 注</w:t>
                  </w:r>
                </w:p>
              </w:tc>
              <w:tc>
                <w:tcPr>
                  <w:tcW w:w="4246"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276" w:lineRule="auto"/>
                    <w:jc w:val="left"/>
                    <w:rPr>
                      <w:rFonts w:ascii="仿宋" w:hAnsi="仿宋" w:eastAsia="仿宋" w:cs="宋体"/>
                      <w:kern w:val="0"/>
                      <w:sz w:val="24"/>
                      <w:szCs w:val="24"/>
                    </w:rPr>
                  </w:pPr>
                  <w:r>
                    <w:rPr>
                      <w:rFonts w:hint="eastAsia" w:ascii="仿宋" w:hAnsi="仿宋" w:eastAsia="仿宋" w:cs="宋体"/>
                      <w:kern w:val="0"/>
                      <w:sz w:val="24"/>
                      <w:szCs w:val="24"/>
                    </w:rPr>
                    <w:t>（1）CA锁公司联系方式：</w:t>
                  </w:r>
                </w:p>
                <w:p>
                  <w:pPr>
                    <w:widowControl/>
                    <w:spacing w:line="276" w:lineRule="auto"/>
                    <w:ind w:firstLine="480" w:firstLineChars="200"/>
                    <w:jc w:val="left"/>
                    <w:rPr>
                      <w:rFonts w:ascii="仿宋" w:hAnsi="仿宋" w:eastAsia="仿宋" w:cs="宋体"/>
                      <w:kern w:val="0"/>
                      <w:sz w:val="24"/>
                      <w:szCs w:val="24"/>
                    </w:rPr>
                  </w:pPr>
                  <w:r>
                    <w:rPr>
                      <w:rFonts w:hint="eastAsia" w:ascii="仿宋" w:hAnsi="仿宋" w:eastAsia="仿宋" w:cs="宋体"/>
                      <w:kern w:val="0"/>
                      <w:sz w:val="24"/>
                      <w:szCs w:val="24"/>
                    </w:rPr>
                    <w:t>安徽CA（AHECA银色和黑色）：400-880-4959，0551-63491661；</w:t>
                  </w:r>
                </w:p>
                <w:p>
                  <w:pPr>
                    <w:widowControl/>
                    <w:spacing w:line="276" w:lineRule="auto"/>
                    <w:ind w:firstLine="480" w:firstLineChars="200"/>
                    <w:jc w:val="left"/>
                    <w:rPr>
                      <w:rFonts w:ascii="仿宋" w:hAnsi="仿宋" w:eastAsia="仿宋" w:cs="宋体"/>
                      <w:kern w:val="0"/>
                      <w:sz w:val="24"/>
                      <w:szCs w:val="24"/>
                    </w:rPr>
                  </w:pPr>
                  <w:r>
                    <w:rPr>
                      <w:rFonts w:hint="eastAsia" w:ascii="仿宋" w:hAnsi="仿宋" w:eastAsia="仿宋" w:cs="宋体"/>
                      <w:kern w:val="0"/>
                      <w:sz w:val="24"/>
                      <w:szCs w:val="24"/>
                    </w:rPr>
                    <w:t>江苏翔晟（CFCA蓝色）：0551-68105136，025-66085508</w:t>
                  </w:r>
                </w:p>
                <w:p>
                  <w:pPr>
                    <w:widowControl/>
                    <w:spacing w:line="276" w:lineRule="auto"/>
                    <w:ind w:left="480" w:hanging="480" w:hangingChars="200"/>
                    <w:jc w:val="left"/>
                    <w:rPr>
                      <w:rFonts w:hint="eastAsia" w:ascii="仿宋" w:hAnsi="仿宋" w:eastAsia="仿宋" w:cs="宋体"/>
                      <w:kern w:val="0"/>
                      <w:sz w:val="24"/>
                      <w:szCs w:val="24"/>
                    </w:rPr>
                  </w:pPr>
                  <w:r>
                    <w:rPr>
                      <w:rFonts w:hint="eastAsia" w:ascii="仿宋" w:hAnsi="仿宋" w:eastAsia="仿宋" w:cs="宋体"/>
                      <w:kern w:val="0"/>
                      <w:sz w:val="24"/>
                      <w:szCs w:val="24"/>
                    </w:rPr>
                    <w:t>（2）</w:t>
                  </w:r>
                  <w:r>
                    <w:rPr>
                      <w:rFonts w:ascii="仿宋" w:hAnsi="仿宋" w:eastAsia="仿宋" w:cs="宋体"/>
                      <w:kern w:val="0"/>
                      <w:sz w:val="24"/>
                      <w:szCs w:val="24"/>
                    </w:rPr>
                    <w:t>CA账号登录网址</w:t>
                  </w:r>
                  <w:r>
                    <w:rPr>
                      <w:rFonts w:hint="eastAsia" w:ascii="仿宋" w:hAnsi="仿宋" w:eastAsia="仿宋" w:cs="宋体"/>
                      <w:kern w:val="0"/>
                      <w:sz w:val="24"/>
                      <w:szCs w:val="24"/>
                    </w:rPr>
                    <w:t>：http://hy.ahggzyjy.com/JTTPBidderYZ/memberLogin</w:t>
                  </w:r>
                </w:p>
              </w:tc>
            </w:tr>
          </w:tbl>
          <w:p>
            <w:pPr>
              <w:widowControl/>
              <w:spacing w:line="276" w:lineRule="auto"/>
              <w:jc w:val="left"/>
              <w:rPr>
                <w:rFonts w:ascii="宋体" w:hAnsi="宋体" w:eastAsia="宋体" w:cs="宋体"/>
                <w:color w:val="333333"/>
                <w:kern w:val="0"/>
                <w:sz w:val="18"/>
                <w:szCs w:val="18"/>
              </w:rPr>
            </w:pP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yYzQ4MWFiNDNmZmQxZjI3NjFmOGViOTMwMTVlNjEifQ=="/>
  </w:docVars>
  <w:rsids>
    <w:rsidRoot w:val="00182B6C"/>
    <w:rsid w:val="0000371A"/>
    <w:rsid w:val="00182B6C"/>
    <w:rsid w:val="00261547"/>
    <w:rsid w:val="003E7E62"/>
    <w:rsid w:val="004D0E55"/>
    <w:rsid w:val="00564A7A"/>
    <w:rsid w:val="00580C5D"/>
    <w:rsid w:val="005A3590"/>
    <w:rsid w:val="00714308"/>
    <w:rsid w:val="00A36744"/>
    <w:rsid w:val="00AE0201"/>
    <w:rsid w:val="00BD7716"/>
    <w:rsid w:val="00D04CA2"/>
    <w:rsid w:val="00FF4F6E"/>
    <w:rsid w:val="0E5D381E"/>
    <w:rsid w:val="12243E89"/>
    <w:rsid w:val="14CD7EC4"/>
    <w:rsid w:val="189B44D3"/>
    <w:rsid w:val="22E66C86"/>
    <w:rsid w:val="24813236"/>
    <w:rsid w:val="27713A60"/>
    <w:rsid w:val="28D03FDA"/>
    <w:rsid w:val="3E6C6F9A"/>
    <w:rsid w:val="44392AE2"/>
    <w:rsid w:val="4AF51B05"/>
    <w:rsid w:val="4D81015C"/>
    <w:rsid w:val="4E387573"/>
    <w:rsid w:val="52EE6D4E"/>
    <w:rsid w:val="5CDF4ADF"/>
    <w:rsid w:val="71440C5A"/>
    <w:rsid w:val="75316F35"/>
    <w:rsid w:val="7831241B"/>
    <w:rsid w:val="7A587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style>
  <w:style w:type="paragraph" w:styleId="3">
    <w:name w:val="Body Text Indent"/>
    <w:basedOn w:val="1"/>
    <w:next w:val="4"/>
    <w:autoRedefine/>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5">
    <w:name w:val="annotation text"/>
    <w:basedOn w:val="1"/>
    <w:autoRedefine/>
    <w:semiHidden/>
    <w:unhideWhenUsed/>
    <w:qFormat/>
    <w:uiPriority w:val="99"/>
    <w:pPr>
      <w:jc w:val="left"/>
    </w:pPr>
  </w:style>
  <w:style w:type="paragraph" w:styleId="6">
    <w:name w:val="footer"/>
    <w:basedOn w:val="1"/>
    <w:link w:val="23"/>
    <w:autoRedefine/>
    <w:unhideWhenUsed/>
    <w:qFormat/>
    <w:uiPriority w:val="99"/>
    <w:pPr>
      <w:tabs>
        <w:tab w:val="center" w:pos="4153"/>
        <w:tab w:val="right" w:pos="8306"/>
      </w:tabs>
      <w:snapToGrid w:val="0"/>
      <w:jc w:val="left"/>
    </w:pPr>
    <w:rPr>
      <w:sz w:val="18"/>
      <w:szCs w:val="18"/>
    </w:rPr>
  </w:style>
  <w:style w:type="paragraph" w:styleId="7">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basedOn w:val="9"/>
    <w:autoRedefine/>
    <w:qFormat/>
    <w:uiPriority w:val="22"/>
    <w:rPr>
      <w:b/>
      <w:bCs/>
    </w:rPr>
  </w:style>
  <w:style w:type="character" w:styleId="11">
    <w:name w:val="FollowedHyperlink"/>
    <w:basedOn w:val="9"/>
    <w:autoRedefine/>
    <w:semiHidden/>
    <w:unhideWhenUsed/>
    <w:qFormat/>
    <w:uiPriority w:val="99"/>
    <w:rPr>
      <w:color w:val="800080"/>
      <w:u w:val="none"/>
    </w:rPr>
  </w:style>
  <w:style w:type="character" w:styleId="12">
    <w:name w:val="Emphasis"/>
    <w:basedOn w:val="9"/>
    <w:autoRedefine/>
    <w:qFormat/>
    <w:uiPriority w:val="20"/>
    <w:rPr>
      <w:b/>
      <w:bCs/>
    </w:rPr>
  </w:style>
  <w:style w:type="character" w:styleId="13">
    <w:name w:val="HTML Definition"/>
    <w:basedOn w:val="9"/>
    <w:autoRedefine/>
    <w:semiHidden/>
    <w:unhideWhenUsed/>
    <w:qFormat/>
    <w:uiPriority w:val="99"/>
  </w:style>
  <w:style w:type="character" w:styleId="14">
    <w:name w:val="HTML Typewriter"/>
    <w:basedOn w:val="9"/>
    <w:autoRedefine/>
    <w:semiHidden/>
    <w:unhideWhenUsed/>
    <w:qFormat/>
    <w:uiPriority w:val="99"/>
    <w:rPr>
      <w:rFonts w:ascii="monospace" w:hAnsi="monospace" w:eastAsia="monospace" w:cs="monospace"/>
      <w:sz w:val="20"/>
    </w:rPr>
  </w:style>
  <w:style w:type="character" w:styleId="15">
    <w:name w:val="HTML Acronym"/>
    <w:basedOn w:val="9"/>
    <w:autoRedefine/>
    <w:semiHidden/>
    <w:unhideWhenUsed/>
    <w:qFormat/>
    <w:uiPriority w:val="99"/>
  </w:style>
  <w:style w:type="character" w:styleId="16">
    <w:name w:val="HTML Variable"/>
    <w:basedOn w:val="9"/>
    <w:autoRedefine/>
    <w:semiHidden/>
    <w:unhideWhenUsed/>
    <w:qFormat/>
    <w:uiPriority w:val="99"/>
  </w:style>
  <w:style w:type="character" w:styleId="17">
    <w:name w:val="Hyperlink"/>
    <w:basedOn w:val="9"/>
    <w:autoRedefine/>
    <w:semiHidden/>
    <w:unhideWhenUsed/>
    <w:qFormat/>
    <w:uiPriority w:val="99"/>
    <w:rPr>
      <w:color w:val="0000FF"/>
      <w:u w:val="none"/>
    </w:rPr>
  </w:style>
  <w:style w:type="character" w:styleId="18">
    <w:name w:val="HTML Code"/>
    <w:basedOn w:val="9"/>
    <w:autoRedefine/>
    <w:semiHidden/>
    <w:unhideWhenUsed/>
    <w:qFormat/>
    <w:uiPriority w:val="99"/>
    <w:rPr>
      <w:rFonts w:hint="default" w:ascii="monospace" w:hAnsi="monospace" w:eastAsia="monospace" w:cs="monospace"/>
      <w:sz w:val="20"/>
    </w:rPr>
  </w:style>
  <w:style w:type="character" w:styleId="19">
    <w:name w:val="HTML Cite"/>
    <w:basedOn w:val="9"/>
    <w:autoRedefine/>
    <w:semiHidden/>
    <w:unhideWhenUsed/>
    <w:qFormat/>
    <w:uiPriority w:val="99"/>
  </w:style>
  <w:style w:type="character" w:styleId="20">
    <w:name w:val="HTML Keyboard"/>
    <w:basedOn w:val="9"/>
    <w:autoRedefine/>
    <w:semiHidden/>
    <w:unhideWhenUsed/>
    <w:qFormat/>
    <w:uiPriority w:val="99"/>
    <w:rPr>
      <w:rFonts w:hint="default" w:ascii="monospace" w:hAnsi="monospace" w:eastAsia="monospace" w:cs="monospace"/>
      <w:sz w:val="20"/>
    </w:rPr>
  </w:style>
  <w:style w:type="character" w:styleId="21">
    <w:name w:val="HTML Sample"/>
    <w:basedOn w:val="9"/>
    <w:autoRedefine/>
    <w:semiHidden/>
    <w:unhideWhenUsed/>
    <w:qFormat/>
    <w:uiPriority w:val="99"/>
    <w:rPr>
      <w:rFonts w:hint="default" w:ascii="monospace" w:hAnsi="monospace" w:eastAsia="monospace" w:cs="monospace"/>
    </w:rPr>
  </w:style>
  <w:style w:type="character" w:customStyle="1" w:styleId="22">
    <w:name w:val="页眉 Char"/>
    <w:basedOn w:val="9"/>
    <w:link w:val="7"/>
    <w:autoRedefine/>
    <w:qFormat/>
    <w:uiPriority w:val="99"/>
    <w:rPr>
      <w:sz w:val="18"/>
      <w:szCs w:val="18"/>
    </w:rPr>
  </w:style>
  <w:style w:type="character" w:customStyle="1" w:styleId="23">
    <w:name w:val="页脚 Char"/>
    <w:basedOn w:val="9"/>
    <w:link w:val="6"/>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Pages>
  <Words>525</Words>
  <Characters>666</Characters>
  <Lines>5</Lines>
  <Paragraphs>1</Paragraphs>
  <TotalTime>3</TotalTime>
  <ScaleCrop>false</ScaleCrop>
  <LinksUpToDate>false</LinksUpToDate>
  <CharactersWithSpaces>676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2021-01-26T06:10:00Z</dcterms:created>
  <dc:creator>Administrator</dc:creator>
  <cp:lastModifiedBy>江沨</cp:lastModifiedBy>
  <dcterms:modified xsi:type="dcterms:W3CDTF">2024-09-26T06:40:35Z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EC06E03CA01D4758BF5CF9D5613F4469_12</vt:lpwstr>
  </property>
</Properties>
</file>