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4D532">
      <w:pPr>
        <w:jc w:val="left"/>
        <w:rPr>
          <w:rFonts w:hint="eastAsia" w:ascii="宋体" w:hAnsi="宋体" w:eastAsia="宋体" w:cs="宋体"/>
          <w:sz w:val="30"/>
          <w:szCs w:val="30"/>
        </w:rPr>
      </w:pPr>
      <w:r>
        <w:rPr>
          <w:rFonts w:hint="eastAsia" w:ascii="宋体" w:hAnsi="宋体" w:eastAsia="宋体" w:cs="宋体"/>
          <w:sz w:val="30"/>
          <w:szCs w:val="30"/>
        </w:rPr>
        <w:t>附件二：</w:t>
      </w:r>
    </w:p>
    <w:p w14:paraId="5B6A84EF">
      <w:pPr>
        <w:jc w:val="center"/>
        <w:rPr>
          <w:rFonts w:hint="eastAsia" w:ascii="仿宋" w:hAnsi="仿宋" w:eastAsia="仿宋" w:cs="仿宋"/>
          <w:sz w:val="36"/>
          <w:szCs w:val="36"/>
        </w:rPr>
      </w:pPr>
      <w:r>
        <w:rPr>
          <w:rFonts w:hint="eastAsia" w:ascii="仿宋" w:hAnsi="仿宋" w:eastAsia="仿宋" w:cs="仿宋"/>
          <w:b/>
          <w:bCs/>
          <w:sz w:val="36"/>
          <w:szCs w:val="36"/>
        </w:rPr>
        <w:t>评</w:t>
      </w:r>
      <w:r>
        <w:rPr>
          <w:rFonts w:hint="eastAsia" w:ascii="仿宋" w:hAnsi="仿宋" w:eastAsia="仿宋" w:cs="仿宋"/>
          <w:b/>
          <w:bCs/>
          <w:sz w:val="36"/>
          <w:szCs w:val="36"/>
          <w:lang w:val="en-US" w:eastAsia="zh-CN"/>
        </w:rPr>
        <w:t>分办法</w:t>
      </w:r>
    </w:p>
    <w:p w14:paraId="3B64522D">
      <w:pPr>
        <w:rPr>
          <w:rFonts w:hint="eastAsia" w:ascii="仿宋" w:hAnsi="仿宋" w:eastAsia="仿宋" w:cs="仿宋"/>
          <w:b/>
          <w:bCs/>
          <w:sz w:val="28"/>
          <w:szCs w:val="28"/>
        </w:rPr>
      </w:pPr>
      <w:r>
        <w:rPr>
          <w:rFonts w:hint="eastAsia" w:ascii="仿宋" w:hAnsi="仿宋" w:eastAsia="仿宋" w:cs="仿宋"/>
          <w:b/>
          <w:bCs/>
          <w:sz w:val="28"/>
          <w:szCs w:val="28"/>
        </w:rPr>
        <w:t>一、评</w:t>
      </w:r>
      <w:r>
        <w:rPr>
          <w:rFonts w:hint="eastAsia" w:ascii="仿宋" w:hAnsi="仿宋" w:eastAsia="仿宋" w:cs="仿宋"/>
          <w:b/>
          <w:bCs/>
          <w:sz w:val="28"/>
          <w:szCs w:val="28"/>
          <w:lang w:val="en-US" w:eastAsia="zh-CN"/>
        </w:rPr>
        <w:t>分程序</w:t>
      </w:r>
    </w:p>
    <w:p w14:paraId="6EA2DEFD">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本项目由合肥市产权交易中心根据招商单位要求组建项目评审小组对各意向方按招商公告要求提交的评审材料进行评审。采用综合评分法，其中技术分满分40分，报价分满分60分，总计100分</w:t>
      </w:r>
      <w:r>
        <w:rPr>
          <w:rFonts w:hint="eastAsia" w:ascii="仿宋" w:hAnsi="仿宋" w:eastAsia="仿宋" w:cs="仿宋"/>
          <w:sz w:val="28"/>
          <w:szCs w:val="28"/>
        </w:rPr>
        <w:t>。</w:t>
      </w:r>
      <w:r>
        <w:rPr>
          <w:rFonts w:hint="eastAsia" w:ascii="仿宋" w:hAnsi="仿宋" w:eastAsia="仿宋" w:cs="仿宋"/>
          <w:sz w:val="28"/>
          <w:szCs w:val="28"/>
          <w:lang w:val="en-US" w:eastAsia="zh-CN"/>
        </w:rPr>
        <w:t>意向方通过资格要求，且报价不低于本项目底价的，为合格意向方。若合格意向方为1</w:t>
      </w:r>
      <w:r>
        <w:rPr>
          <w:rFonts w:hint="eastAsia" w:ascii="仿宋" w:hAnsi="仿宋" w:eastAsia="仿宋" w:cs="仿宋"/>
          <w:sz w:val="28"/>
          <w:szCs w:val="28"/>
        </w:rPr>
        <w:t>家</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评审小组可以直接推选该合格意向方为成交人</w:t>
      </w:r>
      <w:r>
        <w:rPr>
          <w:rFonts w:hint="eastAsia" w:ascii="仿宋" w:hAnsi="仿宋" w:eastAsia="仿宋" w:cs="仿宋"/>
          <w:sz w:val="28"/>
          <w:szCs w:val="28"/>
          <w:lang w:eastAsia="zh-CN"/>
        </w:rPr>
        <w:t>；</w:t>
      </w:r>
      <w:r>
        <w:rPr>
          <w:rFonts w:hint="eastAsia" w:ascii="仿宋" w:hAnsi="仿宋" w:eastAsia="仿宋" w:cs="仿宋"/>
          <w:sz w:val="28"/>
          <w:szCs w:val="28"/>
        </w:rPr>
        <w:t>若</w:t>
      </w:r>
      <w:r>
        <w:rPr>
          <w:rFonts w:hint="eastAsia" w:ascii="仿宋" w:hAnsi="仿宋" w:eastAsia="仿宋" w:cs="仿宋"/>
          <w:sz w:val="28"/>
          <w:szCs w:val="28"/>
          <w:lang w:val="en-US" w:eastAsia="zh-CN"/>
        </w:rPr>
        <w:t>合格</w:t>
      </w:r>
      <w:r>
        <w:rPr>
          <w:rFonts w:hint="eastAsia" w:ascii="仿宋" w:hAnsi="仿宋" w:eastAsia="仿宋" w:cs="仿宋"/>
          <w:sz w:val="28"/>
          <w:szCs w:val="28"/>
        </w:rPr>
        <w:t>意向</w:t>
      </w:r>
      <w:r>
        <w:rPr>
          <w:rFonts w:hint="eastAsia" w:ascii="仿宋" w:hAnsi="仿宋" w:eastAsia="仿宋" w:cs="仿宋"/>
          <w:sz w:val="28"/>
          <w:szCs w:val="28"/>
          <w:lang w:val="en-US" w:eastAsia="zh-CN"/>
        </w:rPr>
        <w:t>方</w:t>
      </w:r>
      <w:r>
        <w:rPr>
          <w:rFonts w:hint="eastAsia" w:ascii="仿宋" w:hAnsi="仿宋" w:eastAsia="仿宋" w:cs="仿宋"/>
          <w:sz w:val="28"/>
          <w:szCs w:val="28"/>
          <w:u w:val="none"/>
          <w:lang w:val="en-US" w:eastAsia="zh-CN"/>
        </w:rPr>
        <w:t>超过1</w:t>
      </w:r>
      <w:r>
        <w:rPr>
          <w:rFonts w:hint="eastAsia" w:ascii="仿宋" w:hAnsi="仿宋" w:eastAsia="仿宋" w:cs="仿宋"/>
          <w:sz w:val="28"/>
          <w:szCs w:val="28"/>
          <w:u w:val="none"/>
        </w:rPr>
        <w:t>家，</w:t>
      </w:r>
      <w:r>
        <w:rPr>
          <w:rFonts w:hint="eastAsia" w:ascii="仿宋" w:hAnsi="仿宋" w:eastAsia="仿宋" w:cs="仿宋"/>
          <w:sz w:val="28"/>
          <w:szCs w:val="28"/>
          <w:lang w:val="en-US" w:eastAsia="zh-CN"/>
        </w:rPr>
        <w:t>则</w:t>
      </w:r>
      <w:r>
        <w:rPr>
          <w:rFonts w:hint="eastAsia" w:ascii="仿宋" w:hAnsi="仿宋" w:eastAsia="仿宋" w:cs="仿宋"/>
          <w:sz w:val="28"/>
          <w:szCs w:val="28"/>
        </w:rPr>
        <w:t>采用综合评分法按总分排序</w:t>
      </w:r>
      <w:r>
        <w:rPr>
          <w:rFonts w:hint="eastAsia" w:ascii="仿宋" w:hAnsi="仿宋" w:eastAsia="仿宋" w:cs="仿宋"/>
          <w:sz w:val="28"/>
          <w:szCs w:val="28"/>
          <w:lang w:val="en-US" w:eastAsia="zh-CN"/>
        </w:rPr>
        <w:t>推选综合排名第一的为</w:t>
      </w:r>
      <w:r>
        <w:rPr>
          <w:rFonts w:hint="eastAsia" w:ascii="仿宋" w:hAnsi="仿宋" w:eastAsia="仿宋" w:cs="仿宋"/>
          <w:sz w:val="28"/>
          <w:szCs w:val="28"/>
        </w:rPr>
        <w:t>成交人</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技术分相同</w:t>
      </w:r>
      <w:r>
        <w:rPr>
          <w:rFonts w:hint="eastAsia" w:ascii="仿宋" w:hAnsi="仿宋" w:eastAsia="仿宋" w:cs="仿宋"/>
          <w:sz w:val="28"/>
          <w:szCs w:val="28"/>
          <w:highlight w:val="none"/>
        </w:rPr>
        <w:t>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分高者优先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报价分也相同的，由评标委员会根据评审材料投票，按少数服从多数的原则确定成交人。若无合格意向方的</w:t>
      </w:r>
      <w:r>
        <w:rPr>
          <w:rFonts w:hint="eastAsia" w:ascii="仿宋" w:hAnsi="仿宋" w:eastAsia="仿宋" w:cs="仿宋"/>
          <w:b w:val="0"/>
          <w:bCs w:val="0"/>
          <w:sz w:val="28"/>
          <w:szCs w:val="28"/>
          <w:highlight w:val="none"/>
          <w:lang w:val="en-US" w:eastAsia="zh-CN"/>
        </w:rPr>
        <w:t>，则招</w:t>
      </w:r>
      <w:r>
        <w:rPr>
          <w:rFonts w:hint="eastAsia" w:ascii="仿宋" w:hAnsi="仿宋" w:eastAsia="仿宋" w:cs="仿宋"/>
          <w:sz w:val="28"/>
          <w:szCs w:val="28"/>
          <w:highlight w:val="none"/>
          <w:lang w:val="en-US" w:eastAsia="zh-CN"/>
        </w:rPr>
        <w:t>商单位</w:t>
      </w:r>
      <w:r>
        <w:rPr>
          <w:rFonts w:hint="eastAsia" w:ascii="仿宋" w:hAnsi="仿宋" w:eastAsia="仿宋" w:cs="仿宋"/>
          <w:sz w:val="28"/>
          <w:szCs w:val="28"/>
          <w:lang w:val="en-US" w:eastAsia="zh-CN"/>
        </w:rPr>
        <w:t>重启招商程序。</w:t>
      </w:r>
    </w:p>
    <w:p w14:paraId="3FD29AEC">
      <w:pPr>
        <w:numPr>
          <w:ilvl w:val="0"/>
          <w:numId w:val="1"/>
        </w:numPr>
        <w:rPr>
          <w:rFonts w:hint="eastAsia" w:ascii="仿宋" w:hAnsi="仿宋" w:eastAsia="仿宋" w:cs="仿宋"/>
          <w:b/>
          <w:sz w:val="28"/>
          <w:szCs w:val="28"/>
        </w:rPr>
      </w:pPr>
      <w:r>
        <w:rPr>
          <w:rFonts w:hint="eastAsia" w:ascii="仿宋" w:hAnsi="仿宋" w:eastAsia="仿宋" w:cs="仿宋"/>
          <w:b/>
          <w:bCs/>
          <w:sz w:val="28"/>
          <w:szCs w:val="28"/>
        </w:rPr>
        <w:t>评</w:t>
      </w:r>
      <w:r>
        <w:rPr>
          <w:rFonts w:hint="eastAsia" w:ascii="仿宋" w:hAnsi="仿宋" w:eastAsia="仿宋" w:cs="仿宋"/>
          <w:b/>
          <w:bCs/>
          <w:sz w:val="28"/>
          <w:szCs w:val="28"/>
          <w:lang w:val="en-US" w:eastAsia="zh-CN"/>
        </w:rPr>
        <w:t>分</w:t>
      </w:r>
      <w:r>
        <w:rPr>
          <w:rFonts w:hint="eastAsia" w:ascii="仿宋" w:hAnsi="仿宋" w:eastAsia="仿宋" w:cs="仿宋"/>
          <w:b/>
          <w:bCs/>
          <w:sz w:val="28"/>
          <w:szCs w:val="28"/>
        </w:rPr>
        <w:t>标准</w:t>
      </w:r>
    </w:p>
    <w:p w14:paraId="5CDDBEF1">
      <w:pPr>
        <w:adjustRightInd w:val="0"/>
        <w:snapToGrid w:val="0"/>
        <w:ind w:right="-10" w:firstLine="492" w:firstLineChars="175"/>
        <w:rPr>
          <w:rFonts w:hint="eastAsia" w:ascii="仿宋" w:hAnsi="仿宋" w:eastAsia="仿宋" w:cs="仿宋"/>
          <w:b/>
        </w:rPr>
      </w:pPr>
      <w:r>
        <w:rPr>
          <w:rFonts w:hint="eastAsia" w:ascii="仿宋" w:hAnsi="仿宋" w:eastAsia="仿宋" w:cs="仿宋"/>
          <w:b/>
          <w:sz w:val="28"/>
          <w:szCs w:val="28"/>
          <w:lang w:val="en-US" w:eastAsia="zh-CN"/>
        </w:rPr>
        <w:t>技术</w:t>
      </w:r>
      <w:r>
        <w:rPr>
          <w:rFonts w:hint="eastAsia" w:ascii="仿宋" w:hAnsi="仿宋" w:eastAsia="仿宋" w:cs="仿宋"/>
          <w:b/>
          <w:sz w:val="28"/>
          <w:szCs w:val="28"/>
        </w:rPr>
        <w:t>分评分标准</w:t>
      </w:r>
    </w:p>
    <w:tbl>
      <w:tblPr>
        <w:tblStyle w:val="2"/>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084"/>
        <w:gridCol w:w="5821"/>
        <w:gridCol w:w="827"/>
      </w:tblGrid>
      <w:tr w14:paraId="13AB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5000" w:type="pct"/>
            <w:gridSpan w:val="4"/>
            <w:noWrap w:val="0"/>
            <w:vAlign w:val="center"/>
          </w:tcPr>
          <w:p w14:paraId="17858FBC">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评</w:t>
            </w:r>
            <w:r>
              <w:rPr>
                <w:rFonts w:hint="eastAsia" w:ascii="仿宋" w:hAnsi="仿宋" w:eastAsia="仿宋" w:cs="仿宋"/>
                <w:b/>
                <w:sz w:val="28"/>
                <w:szCs w:val="28"/>
                <w:lang w:val="en-US" w:eastAsia="zh-CN"/>
              </w:rPr>
              <w:t>分</w:t>
            </w:r>
            <w:r>
              <w:rPr>
                <w:rFonts w:hint="eastAsia" w:ascii="仿宋" w:hAnsi="仿宋" w:eastAsia="仿宋" w:cs="仿宋"/>
                <w:b/>
                <w:sz w:val="28"/>
                <w:szCs w:val="28"/>
              </w:rPr>
              <w:t>表-</w:t>
            </w:r>
            <w:r>
              <w:rPr>
                <w:rFonts w:hint="eastAsia" w:ascii="仿宋" w:hAnsi="仿宋" w:eastAsia="仿宋" w:cs="仿宋"/>
                <w:b/>
                <w:sz w:val="28"/>
                <w:szCs w:val="28"/>
                <w:lang w:val="en-US" w:eastAsia="zh-CN"/>
              </w:rPr>
              <w:t>技术</w:t>
            </w:r>
            <w:r>
              <w:rPr>
                <w:rFonts w:hint="eastAsia" w:ascii="仿宋" w:hAnsi="仿宋" w:eastAsia="仿宋" w:cs="仿宋"/>
                <w:b/>
                <w:sz w:val="28"/>
                <w:szCs w:val="28"/>
              </w:rPr>
              <w:t>分</w:t>
            </w:r>
          </w:p>
        </w:tc>
      </w:tr>
      <w:tr w14:paraId="7D6C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noWrap w:val="0"/>
            <w:vAlign w:val="center"/>
          </w:tcPr>
          <w:p w14:paraId="7459722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序号</w:t>
            </w:r>
          </w:p>
        </w:tc>
        <w:tc>
          <w:tcPr>
            <w:tcW w:w="653" w:type="pct"/>
            <w:noWrap w:val="0"/>
            <w:vAlign w:val="center"/>
          </w:tcPr>
          <w:p w14:paraId="71E52A25">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指标</w:t>
            </w:r>
          </w:p>
        </w:tc>
        <w:tc>
          <w:tcPr>
            <w:tcW w:w="3507" w:type="pct"/>
            <w:noWrap w:val="0"/>
            <w:vAlign w:val="center"/>
          </w:tcPr>
          <w:p w14:paraId="6ADF2A7E">
            <w:pPr>
              <w:keepNext w:val="0"/>
              <w:keepLines w:val="0"/>
              <w:pageBreakBefore w:val="0"/>
              <w:widowControl w:val="0"/>
              <w:kinsoku/>
              <w:wordWrap/>
              <w:overflowPunct/>
              <w:topLinePunct w:val="0"/>
              <w:autoSpaceDE/>
              <w:autoSpaceDN/>
              <w:bidi w:val="0"/>
              <w:adjustRightInd w:val="0"/>
              <w:snapToGrid w:val="0"/>
              <w:spacing w:line="240" w:lineRule="auto"/>
              <w:ind w:left="0" w:right="0" w:firstLine="562" w:firstLineChars="200"/>
              <w:jc w:val="center"/>
              <w:textAlignment w:val="auto"/>
              <w:rPr>
                <w:rFonts w:hint="eastAsia" w:ascii="仿宋" w:hAnsi="仿宋" w:eastAsia="仿宋" w:cs="仿宋"/>
                <w:b/>
                <w:sz w:val="28"/>
                <w:szCs w:val="28"/>
              </w:rPr>
            </w:pPr>
            <w:r>
              <w:rPr>
                <w:rFonts w:hint="eastAsia" w:ascii="仿宋" w:hAnsi="仿宋" w:eastAsia="仿宋" w:cs="仿宋"/>
                <w:b/>
                <w:sz w:val="28"/>
                <w:szCs w:val="28"/>
              </w:rPr>
              <w:t>指标描述</w:t>
            </w:r>
          </w:p>
        </w:tc>
        <w:tc>
          <w:tcPr>
            <w:tcW w:w="497" w:type="pct"/>
            <w:noWrap w:val="0"/>
            <w:vAlign w:val="center"/>
          </w:tcPr>
          <w:p w14:paraId="5A282ABD">
            <w:pPr>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
                <w:sz w:val="28"/>
                <w:szCs w:val="28"/>
              </w:rPr>
              <w:t>分值范围</w:t>
            </w:r>
          </w:p>
        </w:tc>
      </w:tr>
      <w:tr w14:paraId="14E4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2" w:type="pct"/>
            <w:noWrap w:val="0"/>
            <w:vAlign w:val="center"/>
          </w:tcPr>
          <w:p w14:paraId="382770C7">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b/>
                <w:sz w:val="28"/>
                <w:szCs w:val="28"/>
              </w:rPr>
            </w:pPr>
            <w:r>
              <w:rPr>
                <w:rFonts w:hint="eastAsia" w:ascii="仿宋" w:hAnsi="仿宋" w:eastAsia="仿宋" w:cs="仿宋"/>
                <w:bCs/>
                <w:sz w:val="28"/>
                <w:szCs w:val="28"/>
              </w:rPr>
              <w:t>1</w:t>
            </w:r>
          </w:p>
        </w:tc>
        <w:tc>
          <w:tcPr>
            <w:tcW w:w="653" w:type="pct"/>
            <w:noWrap w:val="0"/>
            <w:vAlign w:val="center"/>
          </w:tcPr>
          <w:p w14:paraId="4FE721FC">
            <w:pPr>
              <w:keepNext w:val="0"/>
              <w:keepLines w:val="0"/>
              <w:pageBreakBefore w:val="0"/>
              <w:widowControl w:val="0"/>
              <w:kinsoku/>
              <w:wordWrap/>
              <w:overflowPunct/>
              <w:topLinePunct w:val="0"/>
              <w:autoSpaceDE/>
              <w:autoSpaceDN/>
              <w:bidi w:val="0"/>
              <w:snapToGrid w:val="0"/>
              <w:spacing w:line="240" w:lineRule="auto"/>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意向</w:t>
            </w:r>
            <w:r>
              <w:rPr>
                <w:rFonts w:hint="eastAsia" w:ascii="仿宋" w:hAnsi="仿宋" w:eastAsia="仿宋" w:cs="仿宋"/>
                <w:sz w:val="28"/>
                <w:szCs w:val="28"/>
                <w:lang w:val="en-US" w:eastAsia="zh-CN"/>
              </w:rPr>
              <w:t>方</w:t>
            </w:r>
            <w:r>
              <w:rPr>
                <w:rFonts w:hint="eastAsia" w:ascii="仿宋" w:hAnsi="仿宋" w:eastAsia="仿宋" w:cs="仿宋"/>
                <w:sz w:val="28"/>
                <w:szCs w:val="28"/>
              </w:rPr>
              <w:t>业绩</w:t>
            </w:r>
          </w:p>
        </w:tc>
        <w:tc>
          <w:tcPr>
            <w:tcW w:w="3507" w:type="pct"/>
            <w:noWrap w:val="0"/>
            <w:vAlign w:val="center"/>
          </w:tcPr>
          <w:p w14:paraId="5D719662">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意向</w:t>
            </w:r>
            <w:r>
              <w:rPr>
                <w:rFonts w:hint="eastAsia" w:ascii="仿宋" w:hAnsi="仿宋" w:eastAsia="仿宋" w:cs="仿宋"/>
                <w:sz w:val="28"/>
                <w:szCs w:val="28"/>
                <w:lang w:val="en-US" w:eastAsia="zh-CN"/>
              </w:rPr>
              <w:t>方具有所投</w:t>
            </w:r>
            <w:r>
              <w:rPr>
                <w:rFonts w:hint="eastAsia" w:ascii="仿宋" w:hAnsi="仿宋" w:eastAsia="仿宋" w:cs="仿宋"/>
                <w:sz w:val="28"/>
                <w:szCs w:val="28"/>
              </w:rPr>
              <w:t>酒店品牌的</w:t>
            </w:r>
            <w:r>
              <w:rPr>
                <w:rFonts w:hint="eastAsia" w:ascii="仿宋" w:hAnsi="仿宋" w:eastAsia="仿宋" w:cs="仿宋"/>
                <w:sz w:val="28"/>
                <w:szCs w:val="28"/>
                <w:lang w:val="en-US" w:eastAsia="zh-CN"/>
              </w:rPr>
              <w:t>正在运营业绩</w:t>
            </w:r>
            <w:r>
              <w:rPr>
                <w:rFonts w:hint="eastAsia" w:ascii="仿宋" w:hAnsi="仿宋" w:eastAsia="仿宋" w:cs="仿宋"/>
                <w:sz w:val="28"/>
                <w:szCs w:val="28"/>
              </w:rPr>
              <w:t>，且</w:t>
            </w:r>
            <w:r>
              <w:rPr>
                <w:rFonts w:hint="eastAsia" w:ascii="仿宋" w:hAnsi="仿宋" w:eastAsia="仿宋" w:cs="仿宋"/>
                <w:sz w:val="28"/>
                <w:szCs w:val="28"/>
                <w:lang w:val="en-US" w:eastAsia="zh-CN"/>
              </w:rPr>
              <w:t>该业绩对应的</w:t>
            </w:r>
            <w:r>
              <w:rPr>
                <w:rFonts w:hint="eastAsia" w:ascii="仿宋" w:hAnsi="仿宋" w:eastAsia="仿宋" w:cs="仿宋"/>
                <w:sz w:val="28"/>
                <w:szCs w:val="28"/>
              </w:rPr>
              <w:t>营业执照注册</w:t>
            </w:r>
            <w:r>
              <w:rPr>
                <w:rFonts w:hint="eastAsia" w:ascii="仿宋" w:hAnsi="仿宋" w:eastAsia="仿宋" w:cs="仿宋"/>
                <w:sz w:val="28"/>
                <w:szCs w:val="28"/>
                <w:lang w:val="en-US" w:eastAsia="zh-CN"/>
              </w:rPr>
              <w:t>资本</w:t>
            </w:r>
            <w:r>
              <w:rPr>
                <w:rFonts w:hint="eastAsia" w:ascii="仿宋" w:hAnsi="仿宋" w:eastAsia="仿宋" w:cs="仿宋"/>
                <w:sz w:val="28"/>
                <w:szCs w:val="28"/>
              </w:rPr>
              <w:t>不少于500万</w:t>
            </w:r>
            <w:r>
              <w:rPr>
                <w:rFonts w:hint="eastAsia" w:ascii="仿宋" w:hAnsi="仿宋" w:eastAsia="仿宋" w:cs="仿宋"/>
                <w:sz w:val="28"/>
                <w:szCs w:val="28"/>
                <w:lang w:val="en-US" w:eastAsia="zh-CN"/>
              </w:rPr>
              <w:t>元</w:t>
            </w:r>
            <w:r>
              <w:rPr>
                <w:rFonts w:hint="eastAsia" w:ascii="仿宋" w:hAnsi="仿宋" w:eastAsia="仿宋" w:cs="仿宋"/>
                <w:sz w:val="28"/>
                <w:szCs w:val="28"/>
              </w:rPr>
              <w:t>的，得10分；</w:t>
            </w:r>
          </w:p>
          <w:p w14:paraId="3EF175E3">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意向</w:t>
            </w:r>
            <w:r>
              <w:rPr>
                <w:rFonts w:hint="eastAsia" w:ascii="仿宋" w:hAnsi="仿宋" w:eastAsia="仿宋" w:cs="仿宋"/>
                <w:sz w:val="28"/>
                <w:szCs w:val="28"/>
                <w:lang w:val="en-US" w:eastAsia="zh-CN"/>
              </w:rPr>
              <w:t>方无所投酒店品牌</w:t>
            </w:r>
            <w:r>
              <w:rPr>
                <w:rFonts w:hint="eastAsia" w:ascii="仿宋" w:hAnsi="仿宋" w:eastAsia="仿宋" w:cs="仿宋"/>
                <w:sz w:val="28"/>
                <w:szCs w:val="28"/>
                <w:highlight w:val="none"/>
                <w:lang w:val="en-US" w:eastAsia="zh-CN"/>
              </w:rPr>
              <w:t>运营业绩</w:t>
            </w:r>
            <w:r>
              <w:rPr>
                <w:rFonts w:hint="eastAsia" w:ascii="仿宋" w:hAnsi="仿宋" w:eastAsia="仿宋" w:cs="仿宋"/>
                <w:sz w:val="28"/>
                <w:szCs w:val="28"/>
                <w:highlight w:val="none"/>
              </w:rPr>
              <w:t>，</w:t>
            </w:r>
            <w:r>
              <w:rPr>
                <w:rFonts w:hint="eastAsia" w:ascii="仿宋" w:hAnsi="仿宋" w:eastAsia="仿宋" w:cs="仿宋"/>
                <w:sz w:val="28"/>
                <w:szCs w:val="28"/>
              </w:rPr>
              <w:t>但营业执照注册</w:t>
            </w:r>
            <w:r>
              <w:rPr>
                <w:rFonts w:hint="eastAsia" w:ascii="仿宋" w:hAnsi="仿宋" w:eastAsia="仿宋" w:cs="仿宋"/>
                <w:sz w:val="28"/>
                <w:szCs w:val="28"/>
                <w:lang w:val="en-US" w:eastAsia="zh-CN"/>
              </w:rPr>
              <w:t>资本</w:t>
            </w:r>
            <w:r>
              <w:rPr>
                <w:rFonts w:hint="eastAsia" w:ascii="仿宋" w:hAnsi="仿宋" w:eastAsia="仿宋" w:cs="仿宋"/>
                <w:sz w:val="28"/>
                <w:szCs w:val="28"/>
              </w:rPr>
              <w:t>不少于500万</w:t>
            </w:r>
            <w:r>
              <w:rPr>
                <w:rFonts w:hint="eastAsia" w:ascii="仿宋" w:hAnsi="仿宋" w:eastAsia="仿宋" w:cs="仿宋"/>
                <w:sz w:val="28"/>
                <w:szCs w:val="28"/>
                <w:lang w:val="en-US" w:eastAsia="zh-CN"/>
              </w:rPr>
              <w:t>元</w:t>
            </w:r>
            <w:r>
              <w:rPr>
                <w:rFonts w:hint="eastAsia" w:ascii="仿宋" w:hAnsi="仿宋" w:eastAsia="仿宋" w:cs="仿宋"/>
                <w:sz w:val="28"/>
                <w:szCs w:val="28"/>
              </w:rPr>
              <w:t>的，得5分；</w:t>
            </w:r>
          </w:p>
          <w:p w14:paraId="1D0A8B69">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3.意向方具有所投酒店品牌的正在运营业绩，但该业绩对应的营业执照注册资本少于500万元的，得5分。</w:t>
            </w:r>
          </w:p>
          <w:p w14:paraId="166583F8">
            <w:pPr>
              <w:keepNext w:val="0"/>
              <w:keepLines w:val="0"/>
              <w:pageBreakBefore w:val="0"/>
              <w:widowControl w:val="0"/>
              <w:kinsoku/>
              <w:wordWrap/>
              <w:overflowPunct/>
              <w:topLinePunct w:val="0"/>
              <w:autoSpaceDE/>
              <w:autoSpaceDN/>
              <w:bidi w:val="0"/>
              <w:spacing w:line="240" w:lineRule="auto"/>
              <w:ind w:left="0" w:right="0"/>
              <w:textAlignment w:val="auto"/>
              <w:rPr>
                <w:rFonts w:hint="eastAsia" w:ascii="仿宋" w:hAnsi="仿宋" w:eastAsia="仿宋" w:cs="仿宋"/>
                <w:sz w:val="28"/>
                <w:szCs w:val="28"/>
              </w:rPr>
            </w:pPr>
            <w:r>
              <w:rPr>
                <w:rFonts w:hint="eastAsia" w:ascii="仿宋" w:hAnsi="仿宋" w:eastAsia="仿宋" w:cs="仿宋"/>
                <w:b/>
                <w:bCs/>
                <w:sz w:val="28"/>
                <w:szCs w:val="28"/>
              </w:rPr>
              <w:t>注：</w:t>
            </w:r>
          </w:p>
          <w:p w14:paraId="7C094D83">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评审材料提供营业执照、房产产权证明或者租赁合同，产权证明中房产所有权人（或租赁合同中的承租单位）须是意向方</w:t>
            </w:r>
            <w:r>
              <w:rPr>
                <w:rFonts w:hint="eastAsia" w:ascii="仿宋" w:hAnsi="仿宋" w:eastAsia="仿宋" w:cs="仿宋"/>
                <w:b/>
                <w:bCs/>
                <w:sz w:val="28"/>
                <w:szCs w:val="28"/>
              </w:rPr>
              <w:t>;</w:t>
            </w:r>
          </w:p>
          <w:p w14:paraId="3E1EDF11">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2.伪造材料一经查实立即取消资格并列入招商黑名单</w:t>
            </w:r>
            <w:r>
              <w:rPr>
                <w:rFonts w:hint="eastAsia" w:ascii="仿宋" w:hAnsi="仿宋" w:eastAsia="仿宋" w:cs="仿宋"/>
                <w:b/>
                <w:bCs/>
                <w:sz w:val="28"/>
                <w:szCs w:val="28"/>
                <w:lang w:eastAsia="zh-CN"/>
              </w:rPr>
              <w:t>；</w:t>
            </w:r>
          </w:p>
          <w:p w14:paraId="6D6C558D">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3.其他或未提供相关材料的不得分。</w:t>
            </w:r>
          </w:p>
        </w:tc>
        <w:tc>
          <w:tcPr>
            <w:tcW w:w="497" w:type="pct"/>
            <w:noWrap w:val="0"/>
            <w:vAlign w:val="center"/>
          </w:tcPr>
          <w:p w14:paraId="2B64E428">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0-10分</w:t>
            </w:r>
          </w:p>
        </w:tc>
      </w:tr>
      <w:tr w14:paraId="0F4DF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3" w:hRule="atLeast"/>
          <w:jc w:val="center"/>
        </w:trPr>
        <w:tc>
          <w:tcPr>
            <w:tcW w:w="342" w:type="pct"/>
            <w:noWrap w:val="0"/>
            <w:vAlign w:val="center"/>
          </w:tcPr>
          <w:p w14:paraId="7955EEAE">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653" w:type="pct"/>
            <w:noWrap w:val="0"/>
            <w:vAlign w:val="center"/>
          </w:tcPr>
          <w:p w14:paraId="148B4F96">
            <w:pPr>
              <w:keepNext w:val="0"/>
              <w:keepLines w:val="0"/>
              <w:pageBreakBefore w:val="0"/>
              <w:widowControl w:val="0"/>
              <w:suppressAutoHyphens/>
              <w:kinsoku/>
              <w:wordWrap/>
              <w:overflowPunct/>
              <w:topLinePunct w:val="0"/>
              <w:autoSpaceDE/>
              <w:autoSpaceDN/>
              <w:bidi w:val="0"/>
              <w:adjustRightInd w:val="0"/>
              <w:snapToGrid w:val="0"/>
              <w:spacing w:line="240" w:lineRule="auto"/>
              <w:ind w:left="0" w:right="0"/>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品牌知名度</w:t>
            </w:r>
            <w:r>
              <w:rPr>
                <w:rFonts w:hint="eastAsia" w:ascii="仿宋" w:hAnsi="仿宋" w:eastAsia="仿宋" w:cs="仿宋"/>
                <w:color w:val="auto"/>
                <w:sz w:val="28"/>
                <w:szCs w:val="28"/>
                <w:lang w:eastAsia="zh-CN"/>
              </w:rPr>
              <w:t>（</w:t>
            </w:r>
            <w:r>
              <w:rPr>
                <w:rFonts w:hint="eastAsia" w:ascii="仿宋" w:hAnsi="仿宋" w:eastAsia="仿宋" w:cs="仿宋"/>
                <w:sz w:val="28"/>
                <w:szCs w:val="28"/>
              </w:rPr>
              <w:t>不</w:t>
            </w:r>
            <w:r>
              <w:rPr>
                <w:rFonts w:hint="eastAsia" w:ascii="仿宋" w:hAnsi="仿宋" w:eastAsia="仿宋" w:cs="仿宋"/>
                <w:sz w:val="28"/>
                <w:szCs w:val="28"/>
                <w:lang w:val="en-US" w:eastAsia="zh-CN"/>
              </w:rPr>
              <w:t>含</w:t>
            </w:r>
            <w:r>
              <w:rPr>
                <w:rFonts w:hint="eastAsia" w:ascii="仿宋" w:hAnsi="仿宋" w:eastAsia="仿宋" w:cs="仿宋"/>
                <w:sz w:val="28"/>
                <w:szCs w:val="28"/>
              </w:rPr>
              <w:t>相关衍生品牌及同一母公司旗下其他品牌</w:t>
            </w:r>
            <w:r>
              <w:rPr>
                <w:rFonts w:hint="eastAsia" w:ascii="仿宋" w:hAnsi="仿宋" w:eastAsia="仿宋" w:cs="仿宋"/>
                <w:color w:val="auto"/>
                <w:sz w:val="28"/>
                <w:szCs w:val="28"/>
                <w:lang w:eastAsia="zh-CN"/>
              </w:rPr>
              <w:t>）</w:t>
            </w:r>
          </w:p>
        </w:tc>
        <w:tc>
          <w:tcPr>
            <w:tcW w:w="3507" w:type="pct"/>
            <w:noWrap w:val="0"/>
            <w:vAlign w:val="center"/>
          </w:tcPr>
          <w:p w14:paraId="3B415B0B">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1.行业权威指数与认证（10分）</w:t>
            </w:r>
          </w:p>
          <w:p w14:paraId="1A957519">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参考迈点研究院发布的迈点品牌指数MBI及投资指数，评估意向</w:t>
            </w:r>
            <w:r>
              <w:rPr>
                <w:rFonts w:hint="eastAsia" w:ascii="仿宋" w:hAnsi="仿宋" w:eastAsia="仿宋" w:cs="仿宋"/>
                <w:color w:val="auto"/>
                <w:sz w:val="28"/>
                <w:szCs w:val="28"/>
                <w:lang w:val="en-US" w:eastAsia="zh-CN"/>
              </w:rPr>
              <w:t>方</w:t>
            </w:r>
            <w:r>
              <w:rPr>
                <w:rFonts w:hint="eastAsia" w:ascii="仿宋" w:hAnsi="仿宋" w:eastAsia="仿宋" w:cs="仿宋"/>
                <w:color w:val="auto"/>
                <w:sz w:val="28"/>
                <w:szCs w:val="28"/>
              </w:rPr>
              <w:t>酒店品牌在2025年4月的行业权威指数</w:t>
            </w:r>
            <w:r>
              <w:rPr>
                <w:rFonts w:hint="eastAsia" w:ascii="仿宋" w:hAnsi="仿宋" w:eastAsia="仿宋" w:cs="仿宋"/>
                <w:color w:val="auto"/>
                <w:sz w:val="28"/>
                <w:szCs w:val="28"/>
                <w:lang w:eastAsia="zh-CN"/>
              </w:rPr>
              <w:t>：</w:t>
            </w:r>
          </w:p>
          <w:p w14:paraId="21DAE8C9">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MBI指数</w:t>
            </w:r>
            <w:r>
              <w:rPr>
                <w:rFonts w:hint="eastAsia" w:ascii="仿宋" w:hAnsi="仿宋" w:eastAsia="仿宋" w:cs="仿宋"/>
                <w:color w:val="auto"/>
                <w:sz w:val="28"/>
                <w:szCs w:val="28"/>
                <w:highlight w:val="none"/>
                <w:lang w:eastAsia="zh-CN"/>
              </w:rPr>
              <w:t>：</w:t>
            </w:r>
          </w:p>
          <w:p w14:paraId="589862A4">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MBI指数≥500，得5分；</w:t>
            </w:r>
          </w:p>
          <w:p w14:paraId="188A200B">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350≤</w:t>
            </w:r>
            <w:r>
              <w:rPr>
                <w:rFonts w:hint="eastAsia" w:ascii="仿宋" w:hAnsi="仿宋" w:eastAsia="仿宋" w:cs="仿宋"/>
                <w:color w:val="auto"/>
                <w:sz w:val="28"/>
                <w:szCs w:val="28"/>
                <w:highlight w:val="none"/>
              </w:rPr>
              <w:t>MBI指数</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500，得3分；</w:t>
            </w:r>
          </w:p>
          <w:p w14:paraId="26CA3D61">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200≤</w:t>
            </w:r>
            <w:r>
              <w:rPr>
                <w:rFonts w:hint="eastAsia" w:ascii="仿宋" w:hAnsi="仿宋" w:eastAsia="仿宋" w:cs="仿宋"/>
                <w:color w:val="auto"/>
                <w:sz w:val="28"/>
                <w:szCs w:val="28"/>
                <w:highlight w:val="none"/>
              </w:rPr>
              <w:t>MBI指数</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350，得1分；</w:t>
            </w:r>
          </w:p>
          <w:p w14:paraId="0639BB0C">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MBI指数</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200或暂无榜单指数，</w:t>
            </w:r>
            <w:r>
              <w:rPr>
                <w:rFonts w:hint="eastAsia" w:ascii="仿宋" w:hAnsi="仿宋" w:eastAsia="仿宋" w:cs="仿宋"/>
                <w:color w:val="auto"/>
                <w:sz w:val="28"/>
                <w:szCs w:val="28"/>
              </w:rPr>
              <w:t>得0分</w:t>
            </w:r>
            <w:r>
              <w:rPr>
                <w:rFonts w:hint="eastAsia" w:ascii="仿宋" w:hAnsi="仿宋" w:eastAsia="仿宋" w:cs="仿宋"/>
                <w:color w:val="auto"/>
                <w:sz w:val="28"/>
                <w:szCs w:val="28"/>
                <w:lang w:eastAsia="zh-CN"/>
              </w:rPr>
              <w:t>。</w:t>
            </w:r>
          </w:p>
          <w:p w14:paraId="4741A847">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投资指数</w:t>
            </w:r>
            <w:r>
              <w:rPr>
                <w:rFonts w:hint="eastAsia" w:ascii="仿宋" w:hAnsi="仿宋" w:eastAsia="仿宋" w:cs="仿宋"/>
                <w:color w:val="auto"/>
                <w:sz w:val="28"/>
                <w:szCs w:val="28"/>
                <w:lang w:eastAsia="zh-CN"/>
              </w:rPr>
              <w:t>：</w:t>
            </w:r>
          </w:p>
          <w:p w14:paraId="3AA1287D">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投资指</w:t>
            </w:r>
            <w:r>
              <w:rPr>
                <w:rFonts w:hint="eastAsia" w:ascii="仿宋" w:hAnsi="仿宋" w:eastAsia="仿宋" w:cs="仿宋"/>
                <w:color w:val="auto"/>
                <w:sz w:val="28"/>
                <w:szCs w:val="28"/>
                <w:highlight w:val="none"/>
              </w:rPr>
              <w:t>数≥200，得5分；</w:t>
            </w:r>
          </w:p>
          <w:p w14:paraId="4C66A7B7">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150≤</w:t>
            </w:r>
            <w:r>
              <w:rPr>
                <w:rFonts w:hint="eastAsia" w:ascii="仿宋" w:hAnsi="仿宋" w:eastAsia="仿宋" w:cs="仿宋"/>
                <w:color w:val="auto"/>
                <w:sz w:val="28"/>
                <w:szCs w:val="28"/>
                <w:highlight w:val="none"/>
              </w:rPr>
              <w:t>投资指数</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200，得3分；</w:t>
            </w:r>
          </w:p>
          <w:p w14:paraId="22EB1F46">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rPr>
              <w:t>100≤</w:t>
            </w:r>
            <w:r>
              <w:rPr>
                <w:rFonts w:hint="eastAsia" w:ascii="仿宋" w:hAnsi="仿宋" w:eastAsia="仿宋" w:cs="仿宋"/>
                <w:color w:val="auto"/>
                <w:sz w:val="28"/>
                <w:szCs w:val="28"/>
                <w:highlight w:val="none"/>
              </w:rPr>
              <w:t>投资指数</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150，得1分；</w:t>
            </w:r>
          </w:p>
          <w:p w14:paraId="7375528D">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投资指数</w:t>
            </w:r>
            <w:r>
              <w:rPr>
                <w:rFonts w:hint="eastAsia" w:ascii="仿宋" w:hAnsi="仿宋" w:eastAsia="仿宋" w:cs="仿宋"/>
                <w:bCs/>
                <w:color w:val="auto"/>
                <w:sz w:val="28"/>
                <w:szCs w:val="28"/>
                <w:highlight w:val="none"/>
              </w:rPr>
              <w:t>＜</w:t>
            </w:r>
            <w:r>
              <w:rPr>
                <w:rFonts w:hint="eastAsia" w:ascii="仿宋" w:hAnsi="仿宋" w:eastAsia="仿宋" w:cs="仿宋"/>
                <w:color w:val="auto"/>
                <w:sz w:val="28"/>
                <w:szCs w:val="28"/>
                <w:highlight w:val="none"/>
              </w:rPr>
              <w:t>100或暂无榜单指数，得0分</w:t>
            </w:r>
            <w:r>
              <w:rPr>
                <w:rFonts w:hint="eastAsia" w:ascii="仿宋" w:hAnsi="仿宋" w:eastAsia="仿宋" w:cs="仿宋"/>
                <w:color w:val="auto"/>
                <w:sz w:val="28"/>
                <w:szCs w:val="28"/>
                <w:highlight w:val="none"/>
                <w:lang w:eastAsia="zh-CN"/>
              </w:rPr>
              <w:t>。</w:t>
            </w:r>
          </w:p>
          <w:p w14:paraId="63246E7A">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highlight w:val="none"/>
              </w:rPr>
              <w:t>2.区域市场覆盖能力（10</w:t>
            </w:r>
            <w:r>
              <w:rPr>
                <w:rFonts w:hint="eastAsia" w:ascii="仿宋" w:hAnsi="仿宋" w:eastAsia="仿宋" w:cs="仿宋"/>
                <w:b/>
                <w:bCs/>
                <w:color w:val="auto"/>
                <w:sz w:val="28"/>
                <w:szCs w:val="28"/>
              </w:rPr>
              <w:t>分）</w:t>
            </w:r>
          </w:p>
          <w:p w14:paraId="55A3C75E">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品牌在合肥市（含所属</w:t>
            </w:r>
            <w:r>
              <w:rPr>
                <w:rFonts w:hint="eastAsia" w:ascii="仿宋" w:hAnsi="仿宋" w:eastAsia="仿宋" w:cs="仿宋"/>
                <w:color w:val="auto"/>
                <w:sz w:val="28"/>
                <w:szCs w:val="28"/>
                <w:lang w:val="en-US" w:eastAsia="zh-CN"/>
              </w:rPr>
              <w:t>市、</w:t>
            </w:r>
            <w:r>
              <w:rPr>
                <w:rFonts w:hint="eastAsia" w:ascii="仿宋" w:hAnsi="仿宋" w:eastAsia="仿宋" w:cs="仿宋"/>
                <w:color w:val="auto"/>
                <w:sz w:val="28"/>
                <w:szCs w:val="28"/>
              </w:rPr>
              <w:t>县</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区）的门店布局密度。</w:t>
            </w:r>
          </w:p>
          <w:p w14:paraId="1C824E20">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合肥辖区、县内品牌酒店数量达到40家及以上的，得10分；</w:t>
            </w:r>
          </w:p>
          <w:p w14:paraId="5E4D4759">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合肥辖区、县内品牌酒店数量达到30家及以上</w:t>
            </w:r>
            <w:bookmarkStart w:id="0" w:name="_GoBack"/>
            <w:bookmarkEnd w:id="0"/>
            <w:r>
              <w:rPr>
                <w:rFonts w:hint="eastAsia" w:ascii="仿宋" w:hAnsi="仿宋" w:eastAsia="仿宋" w:cs="仿宋"/>
                <w:color w:val="auto"/>
                <w:sz w:val="28"/>
                <w:szCs w:val="28"/>
              </w:rPr>
              <w:t>的，得7分；</w:t>
            </w:r>
          </w:p>
          <w:p w14:paraId="0EC95422">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合肥辖区、县内品牌酒店数量达到20家及以上的，得3分；</w:t>
            </w:r>
          </w:p>
          <w:p w14:paraId="1BC32BCE">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合肥辖区、县内品牌酒店数量低于20家店的，得0分。</w:t>
            </w:r>
          </w:p>
          <w:p w14:paraId="5908E1E0">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注：</w:t>
            </w:r>
          </w:p>
          <w:p w14:paraId="7018B38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1.</w:t>
            </w:r>
            <w:r>
              <w:rPr>
                <w:rFonts w:hint="eastAsia" w:ascii="仿宋" w:hAnsi="仿宋" w:eastAsia="仿宋" w:cs="仿宋"/>
                <w:b/>
                <w:bCs/>
                <w:color w:val="auto"/>
                <w:sz w:val="28"/>
                <w:szCs w:val="28"/>
              </w:rPr>
              <w:t>迈点品牌指数MBI及投资指数将依据迈点指数网进行评审打分</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意向方提供迈点指数网</w:t>
            </w:r>
            <w:r>
              <w:rPr>
                <w:rFonts w:hint="eastAsia" w:ascii="仿宋" w:hAnsi="仿宋" w:eastAsia="仿宋" w:cs="仿宋"/>
                <w:b/>
                <w:bCs/>
                <w:color w:val="auto"/>
                <w:sz w:val="28"/>
                <w:szCs w:val="28"/>
              </w:rPr>
              <w:t>2025年4月份数据</w:t>
            </w:r>
            <w:r>
              <w:rPr>
                <w:rFonts w:hint="eastAsia" w:ascii="仿宋" w:hAnsi="仿宋" w:eastAsia="仿宋" w:cs="仿宋"/>
                <w:b/>
                <w:bCs/>
                <w:color w:val="auto"/>
                <w:sz w:val="28"/>
                <w:szCs w:val="28"/>
                <w:lang w:val="en-US" w:eastAsia="zh-CN"/>
              </w:rPr>
              <w:t>截图</w:t>
            </w:r>
            <w:r>
              <w:rPr>
                <w:rFonts w:hint="eastAsia" w:ascii="仿宋" w:hAnsi="仿宋" w:eastAsia="仿宋" w:cs="仿宋"/>
                <w:b/>
                <w:bCs/>
                <w:color w:val="auto"/>
                <w:sz w:val="28"/>
                <w:szCs w:val="28"/>
                <w:lang w:eastAsia="zh-CN"/>
              </w:rPr>
              <w:t>；</w:t>
            </w:r>
          </w:p>
          <w:p w14:paraId="0F07909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2.意向方提供合肥市现有开业门店清单（注明具体区县、开业时间）、门店位置分布图等；</w:t>
            </w:r>
          </w:p>
          <w:p w14:paraId="57E0CD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3.其他或未提供相关材料的不得分。</w:t>
            </w:r>
          </w:p>
        </w:tc>
        <w:tc>
          <w:tcPr>
            <w:tcW w:w="497" w:type="pct"/>
            <w:noWrap w:val="0"/>
            <w:vAlign w:val="center"/>
          </w:tcPr>
          <w:p w14:paraId="347EAD21">
            <w:pPr>
              <w:keepNext w:val="0"/>
              <w:keepLines w:val="0"/>
              <w:pageBreakBefore w:val="0"/>
              <w:widowControl w:val="0"/>
              <w:suppressAutoHyphens/>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0-20分</w:t>
            </w:r>
          </w:p>
        </w:tc>
      </w:tr>
      <w:tr w14:paraId="2F9B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342" w:type="pct"/>
            <w:noWrap w:val="0"/>
            <w:vAlign w:val="center"/>
          </w:tcPr>
          <w:p w14:paraId="2F048A84">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color w:val="FF0000"/>
                <w:sz w:val="28"/>
                <w:szCs w:val="28"/>
              </w:rPr>
            </w:pPr>
            <w:r>
              <w:rPr>
                <w:rFonts w:hint="eastAsia" w:ascii="仿宋" w:hAnsi="仿宋" w:eastAsia="仿宋" w:cs="仿宋"/>
                <w:sz w:val="28"/>
                <w:szCs w:val="28"/>
              </w:rPr>
              <w:t>3</w:t>
            </w:r>
          </w:p>
        </w:tc>
        <w:tc>
          <w:tcPr>
            <w:tcW w:w="653" w:type="pct"/>
            <w:noWrap w:val="0"/>
            <w:vAlign w:val="center"/>
          </w:tcPr>
          <w:p w14:paraId="2B0D1CF1">
            <w:pPr>
              <w:keepNext w:val="0"/>
              <w:keepLines w:val="0"/>
              <w:pageBreakBefore w:val="0"/>
              <w:widowControl w:val="0"/>
              <w:suppressAutoHyphens/>
              <w:kinsoku/>
              <w:wordWrap/>
              <w:overflowPunct/>
              <w:topLinePunct w:val="0"/>
              <w:autoSpaceDE/>
              <w:autoSpaceDN/>
              <w:bidi w:val="0"/>
              <w:spacing w:line="240" w:lineRule="auto"/>
              <w:ind w:left="0" w:leftChars="0" w:right="0" w:rightChars="0"/>
              <w:jc w:val="center"/>
              <w:textAlignment w:val="auto"/>
              <w:rPr>
                <w:rFonts w:hint="eastAsia" w:ascii="仿宋" w:hAnsi="仿宋" w:eastAsia="仿宋" w:cs="仿宋"/>
                <w:sz w:val="28"/>
                <w:szCs w:val="28"/>
              </w:rPr>
            </w:pPr>
            <w:r>
              <w:rPr>
                <w:rFonts w:hint="eastAsia" w:ascii="仿宋" w:hAnsi="仿宋" w:eastAsia="仿宋" w:cs="仿宋"/>
                <w:sz w:val="28"/>
                <w:szCs w:val="28"/>
              </w:rPr>
              <w:t>装修改造运营方案</w:t>
            </w:r>
          </w:p>
        </w:tc>
        <w:tc>
          <w:tcPr>
            <w:tcW w:w="3507" w:type="pct"/>
            <w:noWrap w:val="0"/>
            <w:vAlign w:val="center"/>
          </w:tcPr>
          <w:p w14:paraId="10F0FAF9">
            <w:pPr>
              <w:keepNext w:val="0"/>
              <w:keepLines w:val="0"/>
              <w:pageBreakBefore w:val="0"/>
              <w:widowControl w:val="0"/>
              <w:suppressAutoHyphens/>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sz w:val="28"/>
                <w:szCs w:val="28"/>
              </w:rPr>
            </w:pPr>
            <w:r>
              <w:rPr>
                <w:rFonts w:hint="eastAsia" w:ascii="仿宋" w:hAnsi="仿宋" w:eastAsia="仿宋" w:cs="仿宋"/>
                <w:b/>
                <w:bCs/>
                <w:sz w:val="28"/>
                <w:szCs w:val="28"/>
              </w:rPr>
              <w:t>1.装修改造方案（</w:t>
            </w:r>
            <w:r>
              <w:rPr>
                <w:rFonts w:hint="eastAsia" w:ascii="仿宋" w:hAnsi="仿宋" w:eastAsia="仿宋" w:cs="仿宋"/>
                <w:b/>
                <w:bCs/>
                <w:sz w:val="28"/>
                <w:szCs w:val="28"/>
                <w:lang w:val="en-US" w:eastAsia="zh-CN"/>
              </w:rPr>
              <w:t>F1</w:t>
            </w:r>
            <w:r>
              <w:rPr>
                <w:rFonts w:hint="eastAsia" w:ascii="仿宋" w:hAnsi="仿宋" w:eastAsia="仿宋" w:cs="仿宋"/>
                <w:b/>
                <w:bCs/>
                <w:sz w:val="28"/>
                <w:szCs w:val="28"/>
              </w:rPr>
              <w:t>）</w:t>
            </w:r>
          </w:p>
          <w:p w14:paraId="3C37D823">
            <w:pPr>
              <w:keepNext w:val="0"/>
              <w:keepLines w:val="0"/>
              <w:pageBreakBefore w:val="0"/>
              <w:widowControl w:val="0"/>
              <w:suppressAutoHyphens/>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意向方提供装修改造方案，</w:t>
            </w:r>
            <w:r>
              <w:rPr>
                <w:rFonts w:hint="eastAsia" w:ascii="仿宋" w:hAnsi="仿宋" w:eastAsia="仿宋" w:cs="仿宋"/>
                <w:sz w:val="28"/>
                <w:szCs w:val="28"/>
              </w:rPr>
              <w:t>内容包括但不限于平面布局、效果图设计等。</w:t>
            </w:r>
          </w:p>
          <w:p w14:paraId="026E6903">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rPr>
            </w:pPr>
            <w:r>
              <w:rPr>
                <w:rFonts w:hint="eastAsia" w:ascii="仿宋" w:hAnsi="仿宋" w:eastAsia="仿宋" w:cs="仿宋"/>
                <w:sz w:val="28"/>
                <w:szCs w:val="28"/>
              </w:rPr>
              <w:t>方案详尽、创新，设计美观且符合项目实际需求以及酒店品牌标准，功能分区合理，得</w:t>
            </w:r>
            <w:r>
              <w:rPr>
                <w:rFonts w:hint="eastAsia" w:ascii="仿宋" w:hAnsi="仿宋" w:eastAsia="仿宋" w:cs="仿宋"/>
                <w:sz w:val="28"/>
                <w:szCs w:val="28"/>
                <w:lang w:val="en-US" w:eastAsia="zh-CN"/>
              </w:rPr>
              <w:t>2＜F1≤</w:t>
            </w:r>
            <w:r>
              <w:rPr>
                <w:rFonts w:hint="eastAsia" w:ascii="仿宋" w:hAnsi="仿宋" w:eastAsia="仿宋" w:cs="仿宋"/>
                <w:sz w:val="28"/>
                <w:szCs w:val="28"/>
              </w:rPr>
              <w:t>5分；</w:t>
            </w:r>
          </w:p>
          <w:p w14:paraId="7E39EEA8">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rPr>
            </w:pPr>
            <w:r>
              <w:rPr>
                <w:rFonts w:hint="eastAsia" w:ascii="仿宋" w:hAnsi="仿宋" w:eastAsia="仿宋" w:cs="仿宋"/>
                <w:sz w:val="28"/>
                <w:szCs w:val="28"/>
              </w:rPr>
              <w:t>仅提供基础平面图或简易示意图，得</w:t>
            </w:r>
            <w:r>
              <w:rPr>
                <w:rFonts w:hint="eastAsia" w:ascii="仿宋" w:hAnsi="仿宋" w:eastAsia="仿宋" w:cs="仿宋"/>
                <w:sz w:val="28"/>
                <w:szCs w:val="28"/>
                <w:lang w:val="en-US" w:eastAsia="zh-CN"/>
              </w:rPr>
              <w:t>0</w:t>
            </w:r>
            <w:r>
              <w:rPr>
                <w:rFonts w:hint="eastAsia" w:ascii="仿宋" w:hAnsi="仿宋" w:eastAsia="仿宋" w:cs="仿宋"/>
                <w:sz w:val="28"/>
                <w:szCs w:val="28"/>
              </w:rPr>
              <w:t>＜F1≤</w:t>
            </w:r>
            <w:r>
              <w:rPr>
                <w:rFonts w:hint="eastAsia" w:ascii="仿宋" w:hAnsi="仿宋" w:eastAsia="仿宋" w:cs="仿宋"/>
                <w:sz w:val="28"/>
                <w:szCs w:val="28"/>
                <w:lang w:val="en-US" w:eastAsia="zh-CN"/>
              </w:rPr>
              <w:t>2</w:t>
            </w:r>
            <w:r>
              <w:rPr>
                <w:rFonts w:hint="eastAsia" w:ascii="仿宋" w:hAnsi="仿宋" w:eastAsia="仿宋" w:cs="仿宋"/>
                <w:sz w:val="28"/>
                <w:szCs w:val="28"/>
              </w:rPr>
              <w:t>分；</w:t>
            </w:r>
          </w:p>
          <w:p w14:paraId="6B3E07BF">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rPr>
            </w:pPr>
            <w:r>
              <w:rPr>
                <w:rFonts w:hint="eastAsia" w:ascii="仿宋" w:hAnsi="仿宋" w:eastAsia="仿宋" w:cs="仿宋"/>
                <w:sz w:val="28"/>
                <w:szCs w:val="28"/>
              </w:rPr>
              <w:t>未提供或方案与项目实际明显偏离，得0分。</w:t>
            </w:r>
          </w:p>
          <w:p w14:paraId="6B372C15">
            <w:pPr>
              <w:keepNext w:val="0"/>
              <w:keepLines w:val="0"/>
              <w:pageBreakBefore w:val="0"/>
              <w:widowControl w:val="0"/>
              <w:suppressAutoHyphens/>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sz w:val="28"/>
                <w:szCs w:val="28"/>
              </w:rPr>
            </w:pPr>
            <w:r>
              <w:rPr>
                <w:rFonts w:hint="eastAsia" w:ascii="仿宋" w:hAnsi="仿宋" w:eastAsia="仿宋" w:cs="仿宋"/>
                <w:b/>
                <w:bCs/>
                <w:sz w:val="28"/>
                <w:szCs w:val="28"/>
              </w:rPr>
              <w:t>2.运营管理方案（</w:t>
            </w:r>
            <w:r>
              <w:rPr>
                <w:rFonts w:hint="eastAsia" w:ascii="仿宋" w:hAnsi="仿宋" w:eastAsia="仿宋" w:cs="仿宋"/>
                <w:b/>
                <w:bCs/>
                <w:sz w:val="28"/>
                <w:szCs w:val="28"/>
                <w:lang w:val="en-US" w:eastAsia="zh-CN"/>
              </w:rPr>
              <w:t>F2</w:t>
            </w:r>
            <w:r>
              <w:rPr>
                <w:rFonts w:hint="eastAsia" w:ascii="仿宋" w:hAnsi="仿宋" w:eastAsia="仿宋" w:cs="仿宋"/>
                <w:b/>
                <w:bCs/>
                <w:sz w:val="28"/>
                <w:szCs w:val="28"/>
              </w:rPr>
              <w:t>）</w:t>
            </w:r>
          </w:p>
          <w:p w14:paraId="120B37D2">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rPr>
            </w:pPr>
            <w:r>
              <w:rPr>
                <w:rFonts w:hint="eastAsia" w:ascii="仿宋" w:hAnsi="仿宋" w:eastAsia="仿宋" w:cs="仿宋"/>
                <w:sz w:val="28"/>
                <w:szCs w:val="28"/>
              </w:rPr>
              <w:t>意向方提供</w:t>
            </w:r>
            <w:r>
              <w:rPr>
                <w:rFonts w:hint="eastAsia" w:ascii="仿宋" w:hAnsi="仿宋" w:eastAsia="仿宋" w:cs="仿宋"/>
                <w:sz w:val="28"/>
                <w:szCs w:val="28"/>
                <w:lang w:val="en-US" w:eastAsia="zh-CN"/>
              </w:rPr>
              <w:t>运营管理</w:t>
            </w:r>
            <w:r>
              <w:rPr>
                <w:rFonts w:hint="eastAsia" w:ascii="仿宋" w:hAnsi="仿宋" w:eastAsia="仿宋" w:cs="仿宋"/>
                <w:sz w:val="28"/>
                <w:szCs w:val="28"/>
              </w:rPr>
              <w:t>方案，内容包括但不限于投资预算、</w:t>
            </w:r>
            <w:r>
              <w:rPr>
                <w:rFonts w:hint="eastAsia" w:ascii="仿宋" w:hAnsi="仿宋" w:eastAsia="仿宋" w:cs="仿宋"/>
                <w:sz w:val="28"/>
                <w:szCs w:val="28"/>
                <w:lang w:val="en-US" w:eastAsia="zh-CN"/>
              </w:rPr>
              <w:t>运营</w:t>
            </w:r>
            <w:r>
              <w:rPr>
                <w:rFonts w:hint="eastAsia" w:ascii="仿宋" w:hAnsi="仿宋" w:eastAsia="仿宋" w:cs="仿宋"/>
                <w:sz w:val="28"/>
                <w:szCs w:val="28"/>
              </w:rPr>
              <w:t>管理体系等。</w:t>
            </w:r>
          </w:p>
          <w:p w14:paraId="720C40B7">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rPr>
            </w:pPr>
            <w:r>
              <w:rPr>
                <w:rFonts w:hint="eastAsia" w:ascii="仿宋" w:hAnsi="仿宋" w:eastAsia="仿宋" w:cs="仿宋"/>
                <w:sz w:val="28"/>
                <w:szCs w:val="28"/>
              </w:rPr>
              <w:t>运营方案与品牌定位深度绑定，投资预算编制规范，管理体系完整，得2＜F</w:t>
            </w:r>
            <w:r>
              <w:rPr>
                <w:rFonts w:hint="eastAsia" w:ascii="仿宋" w:hAnsi="仿宋" w:eastAsia="仿宋" w:cs="仿宋"/>
                <w:sz w:val="28"/>
                <w:szCs w:val="28"/>
                <w:lang w:val="en-US" w:eastAsia="zh-CN"/>
              </w:rPr>
              <w:t>2</w:t>
            </w:r>
            <w:r>
              <w:rPr>
                <w:rFonts w:hint="eastAsia" w:ascii="仿宋" w:hAnsi="仿宋" w:eastAsia="仿宋" w:cs="仿宋"/>
                <w:sz w:val="28"/>
                <w:szCs w:val="28"/>
              </w:rPr>
              <w:t>≤5分；</w:t>
            </w:r>
          </w:p>
          <w:p w14:paraId="206E6955">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rPr>
            </w:pPr>
            <w:r>
              <w:rPr>
                <w:rFonts w:hint="eastAsia" w:ascii="仿宋" w:hAnsi="仿宋" w:eastAsia="仿宋" w:cs="仿宋"/>
                <w:sz w:val="28"/>
                <w:szCs w:val="28"/>
              </w:rPr>
              <w:t>仅描述基础运营思路，投资估算框架完整但缺乏细化条目，管理方案仅框架性描述，得</w:t>
            </w:r>
            <w:r>
              <w:rPr>
                <w:rFonts w:hint="eastAsia" w:ascii="仿宋" w:hAnsi="仿宋" w:eastAsia="仿宋" w:cs="仿宋"/>
                <w:sz w:val="28"/>
                <w:szCs w:val="28"/>
                <w:lang w:val="en-US" w:eastAsia="zh-CN"/>
              </w:rPr>
              <w:t>0</w:t>
            </w:r>
            <w:r>
              <w:rPr>
                <w:rFonts w:hint="eastAsia" w:ascii="仿宋" w:hAnsi="仿宋" w:eastAsia="仿宋" w:cs="仿宋"/>
                <w:sz w:val="28"/>
                <w:szCs w:val="28"/>
              </w:rPr>
              <w:t>＜F</w:t>
            </w:r>
            <w:r>
              <w:rPr>
                <w:rFonts w:hint="eastAsia" w:ascii="仿宋" w:hAnsi="仿宋" w:eastAsia="仿宋" w:cs="仿宋"/>
                <w:sz w:val="28"/>
                <w:szCs w:val="28"/>
                <w:lang w:val="en-US" w:eastAsia="zh-CN"/>
              </w:rPr>
              <w:t>2</w:t>
            </w:r>
            <w:r>
              <w:rPr>
                <w:rFonts w:hint="eastAsia" w:ascii="仿宋" w:hAnsi="仿宋" w:eastAsia="仿宋" w:cs="仿宋"/>
                <w:sz w:val="28"/>
                <w:szCs w:val="28"/>
              </w:rPr>
              <w:t>≤2分；</w:t>
            </w:r>
          </w:p>
          <w:p w14:paraId="66F1E61E">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rPr>
            </w:pPr>
            <w:r>
              <w:rPr>
                <w:rFonts w:hint="eastAsia" w:ascii="仿宋" w:hAnsi="仿宋" w:eastAsia="仿宋" w:cs="仿宋"/>
                <w:sz w:val="28"/>
                <w:szCs w:val="28"/>
              </w:rPr>
              <w:t>未提供或方案与项目实际明显偏离，得0分。</w:t>
            </w:r>
          </w:p>
          <w:p w14:paraId="5305534A">
            <w:pPr>
              <w:keepNext w:val="0"/>
              <w:keepLines w:val="0"/>
              <w:pageBreakBefore w:val="0"/>
              <w:widowControl w:val="0"/>
              <w:kinsoku/>
              <w:wordWrap/>
              <w:overflowPunct/>
              <w:topLinePunct w:val="0"/>
              <w:autoSpaceDE/>
              <w:autoSpaceDN/>
              <w:bidi w:val="0"/>
              <w:spacing w:line="240" w:lineRule="auto"/>
              <w:ind w:left="0" w:right="0"/>
              <w:textAlignment w:val="auto"/>
              <w:rPr>
                <w:rFonts w:hint="eastAsia" w:ascii="仿宋" w:hAnsi="仿宋" w:eastAsia="仿宋" w:cs="仿宋"/>
                <w:b/>
                <w:bCs/>
                <w:sz w:val="28"/>
                <w:szCs w:val="28"/>
              </w:rPr>
            </w:pPr>
            <w:r>
              <w:rPr>
                <w:rFonts w:hint="eastAsia" w:ascii="仿宋" w:hAnsi="仿宋" w:eastAsia="仿宋" w:cs="仿宋"/>
                <w:b/>
                <w:bCs/>
                <w:sz w:val="28"/>
                <w:szCs w:val="28"/>
              </w:rPr>
              <w:t>注：</w:t>
            </w:r>
          </w:p>
          <w:p w14:paraId="6AA6D664">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sz w:val="28"/>
                <w:szCs w:val="28"/>
              </w:rPr>
            </w:pPr>
            <w:r>
              <w:rPr>
                <w:rFonts w:hint="eastAsia" w:ascii="仿宋" w:hAnsi="仿宋" w:eastAsia="仿宋" w:cs="仿宋"/>
                <w:b/>
                <w:bCs/>
                <w:sz w:val="28"/>
                <w:szCs w:val="28"/>
              </w:rPr>
              <w:t>1.评审时意向</w:t>
            </w:r>
            <w:r>
              <w:rPr>
                <w:rFonts w:hint="eastAsia" w:ascii="仿宋" w:hAnsi="仿宋" w:eastAsia="仿宋" w:cs="仿宋"/>
                <w:b/>
                <w:bCs/>
                <w:sz w:val="28"/>
                <w:szCs w:val="28"/>
                <w:lang w:val="en-US" w:eastAsia="zh-CN"/>
              </w:rPr>
              <w:t>方</w:t>
            </w:r>
            <w:r>
              <w:rPr>
                <w:rFonts w:hint="eastAsia" w:ascii="仿宋" w:hAnsi="仿宋" w:eastAsia="仿宋" w:cs="仿宋"/>
                <w:b/>
                <w:bCs/>
                <w:sz w:val="28"/>
                <w:szCs w:val="28"/>
              </w:rPr>
              <w:t>提交的装修改造方案将作为装修审批、竣工验收的重要依据文件；若施工中需优化调整，须提前向招商单位提交书面变更申请（附对比说明及图纸），经审核确认符合安全规范且未降低原标准后方可实施。擅自降低原标准或违规改动，招商单位有权要求停工整改或解除合同；</w:t>
            </w:r>
          </w:p>
          <w:p w14:paraId="19BED878">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b/>
                <w:bCs/>
                <w:sz w:val="28"/>
                <w:szCs w:val="28"/>
              </w:rPr>
            </w:pPr>
            <w:r>
              <w:rPr>
                <w:rFonts w:hint="eastAsia" w:ascii="仿宋" w:hAnsi="仿宋" w:eastAsia="仿宋" w:cs="仿宋"/>
                <w:b/>
                <w:bCs/>
                <w:sz w:val="28"/>
                <w:szCs w:val="28"/>
              </w:rPr>
              <w:t>2.对擅自拆改、变动或损坏房屋主体结构及违规拆除等重大偏差行为，招商单位有权单方解除合同、收回房屋，并通知成交</w:t>
            </w:r>
            <w:r>
              <w:rPr>
                <w:rFonts w:hint="eastAsia" w:ascii="仿宋" w:hAnsi="仿宋" w:eastAsia="仿宋" w:cs="仿宋"/>
                <w:b/>
                <w:bCs/>
                <w:sz w:val="28"/>
                <w:szCs w:val="28"/>
                <w:lang w:val="en-US" w:eastAsia="zh-CN"/>
              </w:rPr>
              <w:t>人</w:t>
            </w:r>
            <w:r>
              <w:rPr>
                <w:rFonts w:hint="eastAsia" w:ascii="仿宋" w:hAnsi="仿宋" w:eastAsia="仿宋" w:cs="仿宋"/>
                <w:b/>
                <w:bCs/>
                <w:sz w:val="28"/>
                <w:szCs w:val="28"/>
              </w:rPr>
              <w:t>限期腾空搬离，对成交</w:t>
            </w:r>
            <w:r>
              <w:rPr>
                <w:rFonts w:hint="eastAsia" w:ascii="仿宋" w:hAnsi="仿宋" w:eastAsia="仿宋" w:cs="仿宋"/>
                <w:b/>
                <w:bCs/>
                <w:sz w:val="28"/>
                <w:szCs w:val="28"/>
                <w:lang w:val="en-US" w:eastAsia="zh-CN"/>
              </w:rPr>
              <w:t>人</w:t>
            </w:r>
            <w:r>
              <w:rPr>
                <w:rFonts w:hint="eastAsia" w:ascii="仿宋" w:hAnsi="仿宋" w:eastAsia="仿宋" w:cs="仿宋"/>
                <w:b/>
                <w:bCs/>
                <w:sz w:val="28"/>
                <w:szCs w:val="28"/>
              </w:rPr>
              <w:t>所实施的装饰装修改造部分不予任何形式的补偿或赔偿。</w:t>
            </w:r>
          </w:p>
          <w:p w14:paraId="06BBB58C">
            <w:pPr>
              <w:keepNext w:val="0"/>
              <w:keepLines w:val="0"/>
              <w:pageBreakBefore w:val="0"/>
              <w:widowControl w:val="0"/>
              <w:kinsoku/>
              <w:wordWrap/>
              <w:overflowPunct/>
              <w:topLinePunct w:val="0"/>
              <w:autoSpaceDE/>
              <w:autoSpaceDN/>
              <w:bidi w:val="0"/>
              <w:adjustRightInd w:val="0"/>
              <w:snapToGrid w:val="0"/>
              <w:spacing w:line="240" w:lineRule="auto"/>
              <w:ind w:left="0" w:right="0"/>
              <w:textAlignment w:val="auto"/>
              <w:rPr>
                <w:rFonts w:hint="eastAsia" w:ascii="仿宋" w:hAnsi="仿宋" w:eastAsia="仿宋" w:cs="仿宋"/>
                <w:sz w:val="28"/>
                <w:szCs w:val="28"/>
                <w:lang w:eastAsia="zh-CN"/>
              </w:rPr>
            </w:pPr>
            <w:r>
              <w:rPr>
                <w:rFonts w:hint="eastAsia" w:ascii="仿宋" w:hAnsi="仿宋" w:eastAsia="仿宋" w:cs="仿宋"/>
                <w:b/>
                <w:bCs/>
                <w:sz w:val="28"/>
                <w:szCs w:val="28"/>
              </w:rPr>
              <w:t>3.意向</w:t>
            </w:r>
            <w:r>
              <w:rPr>
                <w:rFonts w:hint="eastAsia" w:ascii="仿宋" w:hAnsi="仿宋" w:eastAsia="仿宋" w:cs="仿宋"/>
                <w:b/>
                <w:bCs/>
                <w:sz w:val="28"/>
                <w:szCs w:val="28"/>
                <w:lang w:val="en-US" w:eastAsia="zh-CN"/>
              </w:rPr>
              <w:t>方</w:t>
            </w:r>
            <w:r>
              <w:rPr>
                <w:rFonts w:hint="eastAsia" w:ascii="仿宋" w:hAnsi="仿宋" w:eastAsia="仿宋" w:cs="仿宋"/>
                <w:b/>
                <w:bCs/>
                <w:sz w:val="28"/>
                <w:szCs w:val="28"/>
              </w:rPr>
              <w:t>制定装修改造运营方案过程中可能产生的费用需自行承担。同时，这些费用并不代表成交保证，成交结果仍取决于招商评审的综合评价。</w:t>
            </w:r>
          </w:p>
        </w:tc>
        <w:tc>
          <w:tcPr>
            <w:tcW w:w="497" w:type="pct"/>
            <w:noWrap w:val="0"/>
            <w:vAlign w:val="center"/>
          </w:tcPr>
          <w:p w14:paraId="12D55C14">
            <w:pPr>
              <w:keepNext w:val="0"/>
              <w:keepLines w:val="0"/>
              <w:pageBreakBefore w:val="0"/>
              <w:widowControl w:val="0"/>
              <w:suppressAutoHyphens/>
              <w:kinsoku/>
              <w:wordWrap/>
              <w:overflowPunct/>
              <w:topLinePunct w:val="0"/>
              <w:autoSpaceDE/>
              <w:autoSpaceDN/>
              <w:bidi w:val="0"/>
              <w:adjustRightInd w:val="0"/>
              <w:snapToGrid w:val="0"/>
              <w:spacing w:line="240" w:lineRule="auto"/>
              <w:ind w:left="0" w:leftChars="0" w:right="0" w:rightChars="0"/>
              <w:textAlignment w:val="auto"/>
              <w:rPr>
                <w:rFonts w:hint="eastAsia" w:ascii="仿宋" w:hAnsi="仿宋" w:eastAsia="仿宋" w:cs="仿宋"/>
                <w:color w:val="FF0000"/>
                <w:sz w:val="28"/>
                <w:szCs w:val="28"/>
              </w:rPr>
            </w:pPr>
            <w:r>
              <w:rPr>
                <w:rFonts w:hint="eastAsia" w:ascii="仿宋" w:hAnsi="仿宋" w:eastAsia="仿宋" w:cs="仿宋"/>
                <w:sz w:val="28"/>
                <w:szCs w:val="28"/>
              </w:rPr>
              <w:t>0-10分</w:t>
            </w:r>
          </w:p>
        </w:tc>
      </w:tr>
      <w:tr w14:paraId="003D5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342" w:type="pct"/>
            <w:noWrap w:val="0"/>
            <w:vAlign w:val="center"/>
          </w:tcPr>
          <w:p w14:paraId="0EC558B1">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color w:val="FF0000"/>
                <w:sz w:val="28"/>
                <w:szCs w:val="28"/>
              </w:rPr>
            </w:pPr>
          </w:p>
        </w:tc>
        <w:tc>
          <w:tcPr>
            <w:tcW w:w="653" w:type="pct"/>
            <w:noWrap w:val="0"/>
            <w:vAlign w:val="center"/>
          </w:tcPr>
          <w:p w14:paraId="4951D723">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sz w:val="28"/>
                <w:szCs w:val="28"/>
              </w:rPr>
            </w:pPr>
            <w:r>
              <w:rPr>
                <w:rFonts w:hint="eastAsia" w:ascii="仿宋" w:hAnsi="仿宋" w:eastAsia="仿宋" w:cs="仿宋"/>
                <w:sz w:val="28"/>
                <w:szCs w:val="28"/>
              </w:rPr>
              <w:t>合计</w:t>
            </w:r>
          </w:p>
        </w:tc>
        <w:tc>
          <w:tcPr>
            <w:tcW w:w="3507" w:type="pct"/>
            <w:noWrap w:val="0"/>
            <w:vAlign w:val="center"/>
          </w:tcPr>
          <w:p w14:paraId="68CCEF72">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sz w:val="28"/>
                <w:szCs w:val="28"/>
              </w:rPr>
            </w:pPr>
          </w:p>
        </w:tc>
        <w:tc>
          <w:tcPr>
            <w:tcW w:w="497" w:type="pct"/>
            <w:noWrap w:val="0"/>
            <w:vAlign w:val="center"/>
          </w:tcPr>
          <w:p w14:paraId="74E4FAB9">
            <w:pPr>
              <w:keepNext w:val="0"/>
              <w:keepLines w:val="0"/>
              <w:pageBreakBefore w:val="0"/>
              <w:widowControl w:val="0"/>
              <w:kinsoku/>
              <w:wordWrap/>
              <w:overflowPunct/>
              <w:topLinePunct w:val="0"/>
              <w:autoSpaceDE/>
              <w:autoSpaceDN/>
              <w:bidi w:val="0"/>
              <w:spacing w:line="240" w:lineRule="auto"/>
              <w:ind w:left="0" w:right="0"/>
              <w:jc w:val="center"/>
              <w:textAlignment w:val="auto"/>
              <w:rPr>
                <w:rFonts w:hint="eastAsia" w:ascii="仿宋" w:hAnsi="仿宋" w:eastAsia="仿宋" w:cs="仿宋"/>
                <w:color w:val="FF0000"/>
                <w:sz w:val="28"/>
                <w:szCs w:val="28"/>
              </w:rPr>
            </w:pPr>
            <w:r>
              <w:rPr>
                <w:rFonts w:hint="eastAsia" w:ascii="仿宋" w:hAnsi="仿宋" w:eastAsia="仿宋" w:cs="仿宋"/>
                <w:sz w:val="28"/>
                <w:szCs w:val="28"/>
              </w:rPr>
              <w:t>0-40分</w:t>
            </w:r>
          </w:p>
        </w:tc>
      </w:tr>
    </w:tbl>
    <w:p w14:paraId="66D9BBF0">
      <w:pPr>
        <w:adjustRightInd w:val="0"/>
        <w:snapToGrid w:val="0"/>
        <w:spacing w:line="360" w:lineRule="auto"/>
        <w:ind w:right="-10" w:firstLine="492" w:firstLineChars="175"/>
        <w:rPr>
          <w:rFonts w:hint="eastAsia" w:ascii="仿宋" w:hAnsi="仿宋" w:eastAsia="仿宋" w:cs="仿宋"/>
          <w:b/>
          <w:sz w:val="28"/>
          <w:szCs w:val="28"/>
        </w:rPr>
      </w:pPr>
      <w:r>
        <w:rPr>
          <w:rFonts w:hint="eastAsia" w:ascii="仿宋" w:hAnsi="仿宋" w:eastAsia="仿宋" w:cs="仿宋"/>
          <w:b/>
          <w:sz w:val="28"/>
          <w:szCs w:val="28"/>
        </w:rPr>
        <w:t>报价分评分标准</w:t>
      </w:r>
    </w:p>
    <w:tbl>
      <w:tblPr>
        <w:tblStyle w:val="2"/>
        <w:tblW w:w="49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1002"/>
        <w:gridCol w:w="5972"/>
        <w:gridCol w:w="916"/>
      </w:tblGrid>
      <w:tr w14:paraId="27DD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05" w:type="pct"/>
            <w:noWrap w:val="0"/>
            <w:vAlign w:val="center"/>
          </w:tcPr>
          <w:p w14:paraId="545574A3">
            <w:pPr>
              <w:spacing w:line="440" w:lineRule="exact"/>
              <w:rPr>
                <w:rFonts w:hint="eastAsia" w:ascii="仿宋" w:hAnsi="仿宋" w:eastAsia="仿宋" w:cs="仿宋"/>
                <w:b/>
                <w:sz w:val="28"/>
                <w:szCs w:val="28"/>
              </w:rPr>
            </w:pPr>
          </w:p>
        </w:tc>
        <w:tc>
          <w:tcPr>
            <w:tcW w:w="1002" w:type="dxa"/>
            <w:noWrap w:val="0"/>
            <w:vAlign w:val="center"/>
          </w:tcPr>
          <w:p w14:paraId="3D04428E">
            <w:pPr>
              <w:adjustRightInd w:val="0"/>
              <w:snapToGrid w:val="0"/>
              <w:jc w:val="center"/>
              <w:rPr>
                <w:rFonts w:hint="eastAsia" w:ascii="仿宋" w:hAnsi="仿宋" w:eastAsia="仿宋" w:cs="仿宋"/>
                <w:sz w:val="28"/>
                <w:szCs w:val="28"/>
              </w:rPr>
            </w:pPr>
            <w:r>
              <w:rPr>
                <w:rFonts w:hint="eastAsia" w:ascii="仿宋" w:hAnsi="仿宋" w:eastAsia="仿宋" w:cs="仿宋"/>
                <w:b/>
                <w:sz w:val="28"/>
                <w:szCs w:val="28"/>
              </w:rPr>
              <w:t>指标</w:t>
            </w:r>
          </w:p>
        </w:tc>
        <w:tc>
          <w:tcPr>
            <w:tcW w:w="5972" w:type="dxa"/>
            <w:noWrap w:val="0"/>
            <w:vAlign w:val="center"/>
          </w:tcPr>
          <w:p w14:paraId="4F91EFED">
            <w:pPr>
              <w:adjustRightInd w:val="0"/>
              <w:snapToGrid w:val="0"/>
              <w:ind w:firstLine="562" w:firstLineChars="200"/>
              <w:jc w:val="center"/>
              <w:rPr>
                <w:rFonts w:hint="eastAsia" w:ascii="仿宋" w:hAnsi="仿宋" w:eastAsia="仿宋" w:cs="仿宋"/>
                <w:sz w:val="28"/>
                <w:szCs w:val="28"/>
              </w:rPr>
            </w:pPr>
            <w:r>
              <w:rPr>
                <w:rFonts w:hint="eastAsia" w:ascii="仿宋" w:hAnsi="仿宋" w:eastAsia="仿宋" w:cs="仿宋"/>
                <w:b/>
                <w:sz w:val="28"/>
                <w:szCs w:val="28"/>
              </w:rPr>
              <w:t>指标描述</w:t>
            </w:r>
          </w:p>
        </w:tc>
        <w:tc>
          <w:tcPr>
            <w:tcW w:w="916" w:type="dxa"/>
            <w:noWrap w:val="0"/>
            <w:vAlign w:val="center"/>
          </w:tcPr>
          <w:p w14:paraId="7571533A">
            <w:pPr>
              <w:adjustRightInd w:val="0"/>
              <w:snapToGrid w:val="0"/>
              <w:jc w:val="center"/>
              <w:rPr>
                <w:rFonts w:hint="eastAsia" w:ascii="仿宋" w:hAnsi="仿宋" w:eastAsia="仿宋" w:cs="仿宋"/>
                <w:bCs/>
                <w:kern w:val="0"/>
                <w:sz w:val="28"/>
                <w:szCs w:val="28"/>
              </w:rPr>
            </w:pPr>
            <w:r>
              <w:rPr>
                <w:rFonts w:hint="eastAsia" w:ascii="仿宋" w:hAnsi="仿宋" w:eastAsia="仿宋" w:cs="仿宋"/>
                <w:b/>
                <w:sz w:val="28"/>
                <w:szCs w:val="28"/>
              </w:rPr>
              <w:t>分值范围</w:t>
            </w:r>
          </w:p>
        </w:tc>
      </w:tr>
      <w:tr w14:paraId="67CE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305" w:type="pct"/>
            <w:noWrap w:val="0"/>
            <w:vAlign w:val="center"/>
          </w:tcPr>
          <w:p w14:paraId="4DC51990">
            <w:pPr>
              <w:spacing w:line="440" w:lineRule="exact"/>
              <w:rPr>
                <w:rFonts w:hint="eastAsia" w:ascii="仿宋" w:hAnsi="仿宋" w:eastAsia="仿宋" w:cs="仿宋"/>
                <w:sz w:val="28"/>
                <w:szCs w:val="28"/>
                <w:lang w:eastAsia="zh-CN"/>
              </w:rPr>
            </w:pPr>
            <w:r>
              <w:rPr>
                <w:rFonts w:hint="eastAsia" w:ascii="仿宋" w:hAnsi="仿宋" w:eastAsia="仿宋" w:cs="仿宋"/>
                <w:b/>
                <w:sz w:val="28"/>
                <w:szCs w:val="28"/>
              </w:rPr>
              <w:t>报价</w:t>
            </w:r>
            <w:r>
              <w:rPr>
                <w:rFonts w:hint="eastAsia" w:ascii="仿宋" w:hAnsi="仿宋" w:eastAsia="仿宋" w:cs="仿宋"/>
                <w:b/>
                <w:sz w:val="28"/>
                <w:szCs w:val="28"/>
                <w:lang w:val="en-US" w:eastAsia="zh-CN"/>
              </w:rPr>
              <w:t>评审</w:t>
            </w:r>
          </w:p>
        </w:tc>
        <w:tc>
          <w:tcPr>
            <w:tcW w:w="596" w:type="pct"/>
            <w:noWrap w:val="0"/>
            <w:vAlign w:val="center"/>
          </w:tcPr>
          <w:p w14:paraId="36CA4314">
            <w:pPr>
              <w:spacing w:line="0" w:lineRule="atLeast"/>
              <w:jc w:val="center"/>
              <w:rPr>
                <w:rFonts w:hint="eastAsia" w:ascii="仿宋" w:hAnsi="仿宋" w:eastAsia="仿宋" w:cs="仿宋"/>
                <w:sz w:val="28"/>
                <w:szCs w:val="28"/>
                <w:lang w:val="en-US" w:eastAsia="zh-CN"/>
              </w:rPr>
            </w:pPr>
            <w:r>
              <w:rPr>
                <w:rFonts w:hint="eastAsia" w:ascii="仿宋" w:hAnsi="仿宋" w:eastAsia="仿宋" w:cs="仿宋"/>
                <w:sz w:val="28"/>
                <w:szCs w:val="28"/>
              </w:rPr>
              <w:t>报价</w:t>
            </w:r>
            <w:r>
              <w:rPr>
                <w:rFonts w:hint="eastAsia" w:ascii="仿宋" w:hAnsi="仿宋" w:eastAsia="仿宋" w:cs="仿宋"/>
                <w:sz w:val="28"/>
                <w:szCs w:val="28"/>
                <w:lang w:val="en-US" w:eastAsia="zh-CN"/>
              </w:rPr>
              <w:t>得分</w:t>
            </w:r>
          </w:p>
        </w:tc>
        <w:tc>
          <w:tcPr>
            <w:tcW w:w="3552" w:type="pct"/>
            <w:noWrap w:val="0"/>
            <w:vAlign w:val="center"/>
          </w:tcPr>
          <w:p w14:paraId="6A3ACF79">
            <w:pPr>
              <w:spacing w:line="0" w:lineRule="atLeas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1.确定评标价</w:t>
            </w:r>
          </w:p>
          <w:p w14:paraId="2191F2AE">
            <w:pPr>
              <w:spacing w:line="0" w:lineRule="atLeas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评标价=最终报价</w:t>
            </w:r>
          </w:p>
          <w:p w14:paraId="29C0F16E">
            <w:pPr>
              <w:spacing w:line="0" w:lineRule="atLeas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2.确定评标基准价</w:t>
            </w:r>
          </w:p>
          <w:p w14:paraId="48A568E2">
            <w:pPr>
              <w:spacing w:line="0" w:lineRule="atLeas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以通过资格要求的评审材料的最高评标价作为评标基准价</w:t>
            </w:r>
          </w:p>
          <w:p w14:paraId="0236B6AA">
            <w:pPr>
              <w:spacing w:line="0" w:lineRule="atLeas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3.评标价得分计算</w:t>
            </w:r>
          </w:p>
          <w:p w14:paraId="3B306FA1">
            <w:pPr>
              <w:spacing w:line="0" w:lineRule="atLeas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评标价得分按照下列公式计算：</w:t>
            </w:r>
          </w:p>
          <w:p w14:paraId="1826F8A9">
            <w:pPr>
              <w:spacing w:line="0" w:lineRule="atLeas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评标价得分＝（评标价/评标基准价）*60。</w:t>
            </w:r>
          </w:p>
          <w:p w14:paraId="7721A6BD">
            <w:pPr>
              <w:spacing w:line="0" w:lineRule="atLeast"/>
              <w:rPr>
                <w:rFonts w:hint="eastAsia" w:ascii="仿宋" w:hAnsi="仿宋" w:eastAsia="仿宋" w:cs="仿宋"/>
                <w:sz w:val="28"/>
                <w:szCs w:val="28"/>
              </w:rPr>
            </w:pPr>
            <w:r>
              <w:rPr>
                <w:rFonts w:hint="eastAsia" w:ascii="仿宋" w:hAnsi="仿宋" w:eastAsia="仿宋" w:cs="仿宋"/>
                <w:sz w:val="28"/>
                <w:szCs w:val="28"/>
                <w:lang w:val="en-US" w:eastAsia="zh-CN"/>
              </w:rPr>
              <w:t>报</w:t>
            </w:r>
            <w:r>
              <w:rPr>
                <w:rFonts w:hint="eastAsia" w:ascii="仿宋" w:hAnsi="仿宋" w:eastAsia="仿宋" w:cs="仿宋"/>
                <w:sz w:val="28"/>
                <w:szCs w:val="28"/>
              </w:rPr>
              <w:t>价得分保留小数点后两位，小数点后第三位“四舍五入”，即为*.**。</w:t>
            </w:r>
          </w:p>
        </w:tc>
        <w:tc>
          <w:tcPr>
            <w:tcW w:w="545" w:type="pct"/>
            <w:noWrap w:val="0"/>
            <w:vAlign w:val="center"/>
          </w:tcPr>
          <w:p w14:paraId="2BA37394">
            <w:pPr>
              <w:widowControl/>
              <w:spacing w:line="440" w:lineRule="exact"/>
              <w:jc w:val="center"/>
              <w:rPr>
                <w:rFonts w:hint="eastAsia" w:ascii="仿宋" w:hAnsi="仿宋" w:eastAsia="仿宋" w:cs="仿宋"/>
                <w:b/>
                <w:kern w:val="0"/>
                <w:sz w:val="28"/>
                <w:szCs w:val="28"/>
              </w:rPr>
            </w:pPr>
            <w:r>
              <w:rPr>
                <w:rFonts w:hint="eastAsia" w:ascii="仿宋" w:hAnsi="仿宋" w:eastAsia="仿宋" w:cs="仿宋"/>
                <w:bCs/>
                <w:kern w:val="0"/>
                <w:sz w:val="28"/>
                <w:szCs w:val="28"/>
              </w:rPr>
              <w:t>0-60分</w:t>
            </w:r>
          </w:p>
        </w:tc>
      </w:tr>
    </w:tbl>
    <w:p w14:paraId="6065C45E">
      <w:pPr>
        <w:adjustRightInd w:val="0"/>
        <w:snapToGrid w:val="0"/>
        <w:ind w:right="-10"/>
        <w:rPr>
          <w:rFonts w:hint="eastAsia" w:ascii="仿宋" w:hAnsi="仿宋" w:eastAsia="仿宋" w:cs="仿宋"/>
          <w:b/>
          <w:sz w:val="28"/>
          <w:szCs w:val="28"/>
        </w:rPr>
      </w:pPr>
    </w:p>
    <w:p w14:paraId="697E236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276B3"/>
    <w:multiLevelType w:val="singleLevel"/>
    <w:tmpl w:val="544276B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50564F82"/>
    <w:rsid w:val="18300B23"/>
    <w:rsid w:val="23C245B7"/>
    <w:rsid w:val="50564F82"/>
    <w:rsid w:val="599E4BE5"/>
    <w:rsid w:val="78120820"/>
    <w:rsid w:val="7A505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2025-06-27T06:49:00Z</dcterms:created>
  <dc:creator>王娟</dc:creator>
  <cp:lastModifiedBy>王娟</cp:lastModifiedBy>
  <dcterms:modified xsi:type="dcterms:W3CDTF">2025-06-27T07:13:39Z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7B81001A46154D0CAB30138132ED729D_11</vt:lpwstr>
  </property>
</Properties>
</file>